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444"/>
          <w:sz w:val="36"/>
        </w:rPr>
        <w:t>VisionCare: An Explainable Dual-Stream Consensus Network and Attention-Gated Segmentation Architecture for Real-Time Retinal OCT Diagnostics and Clinical Biomarker Profiling</w:t>
      </w:r>
    </w:p>
    <w:p>
      <w:pPr>
        <w:jc w:val="center"/>
      </w:pPr>
      <w:r>
        <w:rPr>
          <w:rFonts w:ascii="Arial" w:hAnsi="Arial"/>
          <w:i/>
          <w:sz w:val="20"/>
        </w:rPr>
        <w:t>A. Arafath</w:t>
        <w:br/>
        <w:t>Department of Computer Science and Engineering</w:t>
        <w:br/>
        <w:t>Clinical AI &amp; Ophthalmic Medical Computing Research Initiative</w:t>
        <w:br/>
        <w:t>Preprint submitted for Academic &amp; Peer Review</w:t>
      </w:r>
    </w:p>
    <w:p/>
    <w:p>
      <w:r>
        <w:rPr>
          <w:rFonts w:ascii="Arial" w:hAnsi="Arial"/>
          <w:b/>
          <w:color w:val="0284C7"/>
          <w:sz w:val="24"/>
        </w:rPr>
        <w:t>Abstract</w:t>
      </w:r>
    </w:p>
    <w:p>
      <w:pPr>
        <w:jc w:val="both"/>
      </w:pPr>
      <w:r>
        <w:rPr>
          <w:rFonts w:ascii="Times New Roman" w:hAnsi="Times New Roman"/>
          <w:i/>
          <w:sz w:val="21"/>
        </w:rPr>
        <w:t>Optical Coherence Tomography (OCT) provides non-invasive, high-resolution cross-sectional tomograms of retinal microstructure, serving as an indispensable modality for managing macular disorders. Diagnosing vision-threatening conditions—such as Choroidal Neovascularization (CNV), Diabetic Macular Edema (DME), and Drusen—at an early stage is critical for preventing permanent sight impairment. However, high clinical patient volumes, image speckle noise, and ambiguous borderline presentations pose significant diagnostic hurdles for clinical specialists.</w:t>
        <w:br/>
        <w:br/>
        <w:t>In this work, we present VisionCare, an explainable, end-to-end ophthalmic computer-aided diagnostic system designed to automate classification, fluid-pocket boundary segmentation, and quantitative biomarker analysis. The classification pipeline employs a Dual-Stream Neural Consensus Engine combining a compound-scaled EfficientNet-B0 network with an inverted-residual MobileNet-V3 backbone, governed by an information-theoretic Shannon entropy threshold to triage ambiguous scans for manual clinical review. Simultaneously, an Attention U-Net segmentation network isolates pathological fluid accumulations and elevated lesions, extracting quantitative anatomical indicators including Central Subfield Thickness (CST) and 9-zone Early Treatment Diabetic Retinopathy Study (ETDRS) metrics. Model explainability is delivered through Gradient-weighted Class Activation Mapping (Grad-CAM), directly grounding model decisions in pathological morphology.</w:t>
        <w:br/>
        <w:br/>
        <w:t>Trained and validated on the UCSD retinal OCT benchmark (N = 84,495 scans), the consensus network delivers an overall classification accuracy of 98.40%, a sensitivity of 98.60%, a specificity of 99.10%, and an AUC-ROC of 0.996, while the segmentation network achieves a Dice Similarity Coefficient of 0.892 at an inference latency of 420 ms. Integrated into an interactive clinical workstation equipped with a PACS-grade curtain-slider, digital calipers, and bilingual audio synthesis, VisionCare provides an accurate, explainable, and deployment-ready diagnostic assistant.</w:t>
      </w:r>
    </w:p>
    <w:p>
      <w:r>
        <w:rPr>
          <w:rFonts w:ascii="Times New Roman" w:hAnsi="Times New Roman"/>
          <w:b/>
          <w:sz w:val="20"/>
        </w:rPr>
        <w:t xml:space="preserve">Keywords: </w:t>
      </w:r>
      <w:r>
        <w:rPr>
          <w:rFonts w:ascii="Times New Roman" w:hAnsi="Times New Roman"/>
          <w:sz w:val="20"/>
        </w:rPr>
        <w:t>Optical Coherence Tomography (OCT); Dual Neural Consensus; Attention U-Net; Macular Pathology; Explainable Artificial Intelligence; Shannon Entropy; Biomarker Quantification; Medical Image Processing.</w:t>
      </w:r>
    </w:p>
    <w:p>
      <w:r>
        <w:rPr>
          <w:rFonts w:ascii="Arial" w:hAnsi="Arial"/>
          <w:b/>
          <w:color w:val="0F2444"/>
          <w:sz w:val="26"/>
        </w:rPr>
        <w:t>1. Introduction</w:t>
      </w:r>
    </w:p>
    <w:p>
      <w:pPr>
        <w:jc w:val="both"/>
      </w:pPr>
      <w:r>
        <w:rPr>
          <w:rFonts w:ascii="Times New Roman" w:hAnsi="Times New Roman"/>
          <w:sz w:val="22"/>
        </w:rPr>
        <w:t>Retinal diseases represent a leading cause of visual deterioration and blindness across the globe. Conditions such as age-related macular degeneration (AMD) and diabetic macular edema (DME) involve destructive alterations within retinal microstructures, including subretinal hyperreflective neovascular membranes, fluid pooling within inner retinal layers, and extracellular lipid deposits between the retinal pigment epithelium (RPE) and Bruch's membrane. Optical Coherence Tomography (OCT) allows clinicians to non-invasively inspect these axial tissue layers at sub-micrometer resolution, serving as the definitive modality for guiding therapeutic interventions like anti-VEGF injections.</w:t>
        <w:br/>
        <w:br/>
        <w:t>Despite technological strides in spectral-domain OCT (SD-OCT) capture systems, clinical interpretation remains an intensive manual process. A single examination can produce hundreds of B-scan images per patient. Evaluating these volumes under tight clinical schedules can lead to diagnostic discrepancies, particularly when distinguishing subtle fluid pockets or differentiating small drusenoid elevations from early-stage neovascularization. Furthermore, developing healthcare infrastructures face severe shortages of fellowship-trained vitreoretinal specialists.</w:t>
        <w:br/>
        <w:br/>
        <w:t>While deep learning algorithms demonstrate strong classification capabilities, standard models exhibit critical practical shortcomings: (1) Decision Opacity, wherein standard neural networks function as uninterpretable black boxes, offering minimal anatomical rationale; (2) Overconfident Predictions, where deterministic models produce high-confidence predictions on compromised scans without flagging uncertainty; and (3) Absence of Quantitative Profiling, where simple labels do not inform clinical staging, which relies on quantitative measurements such as fluid area ratios and macular thickness profiles. To resolve these challenges, this study presents VisionCare, a multi-component diagnostic framework unifying dual-backbone consensus verification, entropy-based triage, attention-driven lesion segmentation, explainable visualization, and standardized biomarker reporting.</w:t>
      </w:r>
    </w:p>
    <w:p>
      <w:r>
        <w:rPr>
          <w:rFonts w:ascii="Arial" w:hAnsi="Arial"/>
          <w:b/>
          <w:color w:val="0F2444"/>
          <w:sz w:val="26"/>
        </w:rPr>
        <w:t>2. Literature Review</w:t>
      </w:r>
    </w:p>
    <w:p>
      <w:pPr>
        <w:jc w:val="both"/>
      </w:pPr>
      <w:r>
        <w:rPr>
          <w:rFonts w:ascii="Times New Roman" w:hAnsi="Times New Roman"/>
          <w:sz w:val="22"/>
        </w:rPr>
        <w:t>The field of automated retinal image analysis has progressed from traditional computer vision feature engineering toward deep convolutional and transformer-based representations.</w:t>
      </w:r>
    </w:p>
    <w:p>
      <w:r>
        <w:rPr>
          <w:rFonts w:ascii="Arial" w:hAnsi="Arial"/>
          <w:b/>
          <w:color w:val="0284C7"/>
          <w:sz w:val="23"/>
        </w:rPr>
        <w:t>2.1 Classical Image Processing Techniques</w:t>
      </w:r>
    </w:p>
    <w:p>
      <w:pPr>
        <w:jc w:val="both"/>
      </w:pPr>
      <w:r>
        <w:rPr>
          <w:rFonts w:ascii="Times New Roman" w:hAnsi="Times New Roman"/>
          <w:sz w:val="22"/>
        </w:rPr>
        <w:t>Initial efforts in OCT boundary delineation utilized mathematical morphological filters, active contour models, graph-cut segmentation algorithms, and hand-crafted texture descriptors such as Local Binary Patterns (LBP). Although mathematically rigorous, these techniques proved vulnerable to low signal-to-noise ratios, speckle noise, and substantial architectural distortions brought on by advanced pathology.</w:t>
      </w:r>
    </w:p>
    <w:p>
      <w:r>
        <w:rPr>
          <w:rFonts w:ascii="Arial" w:hAnsi="Arial"/>
          <w:b/>
          <w:color w:val="0284C7"/>
          <w:sz w:val="23"/>
        </w:rPr>
        <w:t>2.2 Deep Neural Networks for OCT Analysis</w:t>
      </w:r>
    </w:p>
    <w:p>
      <w:pPr>
        <w:jc w:val="both"/>
      </w:pPr>
      <w:r>
        <w:rPr>
          <w:rFonts w:ascii="Times New Roman" w:hAnsi="Times New Roman"/>
          <w:sz w:val="22"/>
        </w:rPr>
        <w:t>The availability of standardized OCT datasets accelerated the development of supervised classification models. Convolutional neural networks—including VGG architectures, residual networks (ResNet), and densely connected networks (DenseNet)—achieved high classification accuracy on four-class macular screening tasks. Multi-scale feature aggregations and ensemble methods subsequently demonstrated that combining diverse receptive fields improved robustness over isolated single-path networks.</w:t>
      </w:r>
    </w:p>
    <w:p>
      <w:r>
        <w:rPr>
          <w:rFonts w:ascii="Arial" w:hAnsi="Arial"/>
          <w:b/>
          <w:color w:val="0284C7"/>
          <w:sz w:val="23"/>
        </w:rPr>
        <w:t>2.3 Semantic Segmentation of Retinal Fluid and Biomarkers</w:t>
      </w:r>
    </w:p>
    <w:p>
      <w:pPr>
        <w:jc w:val="both"/>
      </w:pPr>
      <w:r>
        <w:rPr>
          <w:rFonts w:ascii="Times New Roman" w:hAnsi="Times New Roman"/>
          <w:sz w:val="22"/>
        </w:rPr>
        <w:t>Isolating fluid reservoirs—such as intraretinal fluid (IRF) and subretinal fluid (SRF)—is essential for staging diseases like DME and CNV. While baseline U-Net architectures enabled effective pixel-level delineation, standard skip connections frequently propagated redundant background noise from shallow layers. Attention mechanisms mitigate this issue by incorporating gating coefficients that selectively emphasize target lesion pixels while suppressing uninvolved retinal boundaries.</w:t>
      </w:r>
    </w:p>
    <w:p>
      <w:r>
        <w:rPr>
          <w:rFonts w:ascii="Arial" w:hAnsi="Arial"/>
          <w:b/>
          <w:color w:val="0284C7"/>
          <w:sz w:val="23"/>
        </w:rPr>
        <w:t>2.4 Uncertainty Quantification and Interpretability</w:t>
      </w:r>
    </w:p>
    <w:p>
      <w:pPr>
        <w:jc w:val="both"/>
      </w:pPr>
      <w:r>
        <w:rPr>
          <w:rFonts w:ascii="Times New Roman" w:hAnsi="Times New Roman"/>
          <w:sz w:val="22"/>
        </w:rPr>
        <w:t>Standard softmax activation layers are susceptible to overconfidence on out-of-distribution inputs. Information-theoretic uncertainty measures, including Shannon entropy, offer a computationally efficient metric for identifying ambiguous samples. In parallel, Gradient-weighted Class Activation Mapping (Grad-CAM) provides a widely accepted framework for generating visual heatmaps from backpropagated gradients, enabling clinicians to verify that predictions correlate with genuine pathological features.</w:t>
      </w:r>
    </w:p>
    <w:p>
      <w:r>
        <w:rPr>
          <w:rFonts w:ascii="Arial" w:hAnsi="Arial"/>
          <w:b/>
          <w:color w:val="0F2444"/>
          <w:sz w:val="26"/>
        </w:rPr>
        <w:t>3. Problem Statement</w:t>
      </w:r>
    </w:p>
    <w:p>
      <w:pPr>
        <w:jc w:val="both"/>
      </w:pPr>
      <w:r>
        <w:rPr>
          <w:rFonts w:ascii="Times New Roman" w:hAnsi="Times New Roman"/>
          <w:sz w:val="22"/>
        </w:rPr>
        <w:t>Given an input retinal OCT cross-sectional image I ∈ R^{H×W}, the goal is to build an automated clinical diagnostic pipeline that simultaneously achieves: (1) multi-class diagnostic categorization ŷ ∈ {Normal, CNV, DME, Drusen} with an associated posterior distribution P(y | I); (2) information-theoretic epistemic uncertainty estimation H(P) to identify borderline or atypical scans requiring specialist verification; (3) pixel-level binary segmentation of pathological tissue and fluid reservoirs M ∈ {0, 1}^{H×W}; (4) direct calculation of physical biomarkers, including Central Subfield Thickness (CST) and lesion-to-retina area ratios, calibrated using scanner axial resolutions; and (5) generation of spatial explainability heatmaps S ∈ [0, 1]^{H×W} matching verified anatomical locations.</w:t>
      </w:r>
    </w:p>
    <w:p>
      <w:r>
        <w:rPr>
          <w:rFonts w:ascii="Arial" w:hAnsi="Arial"/>
          <w:b/>
          <w:color w:val="0F2444"/>
          <w:sz w:val="26"/>
        </w:rPr>
        <w:t>4. Research Gap</w:t>
      </w:r>
    </w:p>
    <w:p>
      <w:pPr>
        <w:jc w:val="both"/>
      </w:pPr>
      <w:r>
        <w:rPr>
          <w:rFonts w:ascii="Times New Roman" w:hAnsi="Times New Roman"/>
          <w:sz w:val="22"/>
        </w:rPr>
        <w:t>Existing OCT diagnostic systems frequently present several operational disconnects: (1) Isolated Functionality: Most published studies isolate categorical classification from semantic lesion segmentation, requiring separate pipelines that impede unified clinical reporting. (2) Deterministic Overconfidence: Single-model frameworks lack integrated cross-validation mechanisms, leading to confident misclassifications on borderline samples. (3) Lack of Calibrated Biomarkers: Segmented pixel masks are rarely translated into clinical units (such as micrometers or ETDRS grid sectors) necessary for treatment monitoring. (4) Poor Integration into Clinical Workflows: Many algorithms remain isolated scripts lacking interactive review interfaces (e.g., curtain comparisons, measurement calipers, and structured multi-language reporting).</w:t>
      </w:r>
    </w:p>
    <w:p>
      <w:r>
        <w:rPr>
          <w:rFonts w:ascii="Arial" w:hAnsi="Arial"/>
          <w:b/>
          <w:color w:val="0F2444"/>
          <w:sz w:val="26"/>
        </w:rPr>
        <w:t>5. Objectives and Contributions</w:t>
      </w:r>
    </w:p>
    <w:p>
      <w:pPr>
        <w:jc w:val="both"/>
      </w:pPr>
      <w:r>
        <w:rPr>
          <w:rFonts w:ascii="Times New Roman" w:hAnsi="Times New Roman"/>
          <w:sz w:val="22"/>
        </w:rPr>
        <w:t>This study introduces the VisionCare platform to bridge the divide between theoretical computer vision and clinical utility. Key contributions include:</w:t>
        <w:br/>
        <w:t>• Dual-Stream Neural Consensus Architecture: A unified classification pipeline pairing EfficientNet-B0 with MobileNet-V3 to execute continuous cross-model validation.</w:t>
        <w:br/>
        <w:t>• Entropy-Guided Clinical Triage Filter: Integration of Shannon entropy thresholds to screen for distribution spread, automatically routing uncertain scans to ophthalmology specialists.</w:t>
        <w:br/>
        <w:t>• Attention U-Net Lesion Delineation: An attention-gated segmentation model that isolates pathological fluid compartments while suppressing vitreous and choroidal artifacts.</w:t>
        <w:br/>
        <w:t>• Physical Biomarker Extraction: Calibrated conversion of segmented geometries into Central Subfield Thickness (CST) indices and ETDRS-standard quadrant values.</w:t>
        <w:br/>
        <w:t>• Comprehensive Clinical Workstation: A responsive interface incorporating Grad-CAM heatmaps, hardware-accelerated PACS comparison sliders, digital calipers, and bilingual audio briefings.</w:t>
      </w:r>
    </w:p>
    <w:p>
      <w:r>
        <w:rPr>
          <w:rFonts w:ascii="Arial" w:hAnsi="Arial"/>
          <w:b/>
          <w:color w:val="0F2444"/>
          <w:sz w:val="26"/>
        </w:rPr>
        <w:t>6. Proposed Methodology</w:t>
      </w:r>
    </w:p>
    <w:p>
      <w:pPr>
        <w:jc w:val="both"/>
      </w:pPr>
      <w:r>
        <w:rPr>
          <w:rFonts w:ascii="Times New Roman" w:hAnsi="Times New Roman"/>
          <w:sz w:val="22"/>
        </w:rPr>
        <w:t>The VisionCare analytical pipeline follows a structured, modular workflow: Input OCT scans undergo bilateral speckle denoising and CLAHE contrast enhancement before entering parallel analysis branches. In Branch 1, dual classification streams (EfficientNet-B0 and MobileNet-V3) generate independent posterior distributions blended via weighted consensus (w1 = 0.55, w2 = 0.45). Predictions with Shannon entropy exceeding 0.45 are triaged for human expert review. Concurrently, Branch 2 utilizes an Attention U-Net to produce binary segmentation masks of pathological fluid and tissue elevations, directly calculating calibrated CST and 9-zone ETDRS profiles. Grad-CAM visual heatmaps are fused with the original tomogram in a clinical PACS workstation.</w:t>
      </w:r>
    </w:p>
    <w:p>
      <w:r>
        <w:rPr>
          <w:rFonts w:ascii="Arial" w:hAnsi="Arial"/>
          <w:b/>
          <w:color w:val="0F2444"/>
          <w:sz w:val="26"/>
        </w:rPr>
        <w:t>7. Dataset Description</w:t>
      </w:r>
    </w:p>
    <w:p>
      <w:pPr>
        <w:jc w:val="both"/>
      </w:pPr>
      <w:r>
        <w:rPr>
          <w:rFonts w:ascii="Times New Roman" w:hAnsi="Times New Roman"/>
          <w:sz w:val="22"/>
        </w:rPr>
        <w:t>Model training, optimization, and evaluation were performed using the benchmark UCSD Kermany retinal OCT dataset, comprising 84,495 high-resolution spectral-domain OCT images across four distinct clinical classes: Choroidal Neovascularization (CNV: 37,205), Diabetic Macular Edema (DME: 11,348), Drusen (8,616), and Normal (27,326). Data splits followed an 80% training (67,595), 10% validation (8,449), and 10% independent test partition (8,451).</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Pathology</w:t>
            </w:r>
          </w:p>
        </w:tc>
        <w:tc>
          <w:tcPr>
            <w:tcW w:type="dxa" w:w="1872"/>
          </w:tcPr>
          <w:p>
            <w:r>
              <w:rPr>
                <w:b/>
              </w:rPr>
              <w:t>Total</w:t>
            </w:r>
          </w:p>
        </w:tc>
        <w:tc>
          <w:tcPr>
            <w:tcW w:type="dxa" w:w="1872"/>
          </w:tcPr>
          <w:p>
            <w:r>
              <w:rPr>
                <w:b/>
              </w:rPr>
              <w:t>Train (80%)</w:t>
            </w:r>
          </w:p>
        </w:tc>
        <w:tc>
          <w:tcPr>
            <w:tcW w:type="dxa" w:w="1872"/>
          </w:tcPr>
          <w:p>
            <w:r>
              <w:rPr>
                <w:b/>
              </w:rPr>
              <w:t>Val (10%)</w:t>
            </w:r>
          </w:p>
        </w:tc>
        <w:tc>
          <w:tcPr>
            <w:tcW w:type="dxa" w:w="1872"/>
          </w:tcPr>
          <w:p>
            <w:r>
              <w:rPr>
                <w:b/>
              </w:rPr>
              <w:t>Test (10%)</w:t>
            </w:r>
          </w:p>
        </w:tc>
      </w:tr>
      <w:tr>
        <w:tc>
          <w:tcPr>
            <w:tcW w:type="dxa" w:w="1872"/>
          </w:tcPr>
          <w:p>
            <w:r>
              <w:t>CNV</w:t>
            </w:r>
          </w:p>
        </w:tc>
        <w:tc>
          <w:tcPr>
            <w:tcW w:type="dxa" w:w="1872"/>
          </w:tcPr>
          <w:p>
            <w:r>
              <w:t>37,205</w:t>
            </w:r>
          </w:p>
        </w:tc>
        <w:tc>
          <w:tcPr>
            <w:tcW w:type="dxa" w:w="1872"/>
          </w:tcPr>
          <w:p>
            <w:r>
              <w:t>29,764</w:t>
            </w:r>
          </w:p>
        </w:tc>
        <w:tc>
          <w:tcPr>
            <w:tcW w:type="dxa" w:w="1872"/>
          </w:tcPr>
          <w:p>
            <w:r>
              <w:t>3,720</w:t>
            </w:r>
          </w:p>
        </w:tc>
        <w:tc>
          <w:tcPr>
            <w:tcW w:type="dxa" w:w="1872"/>
          </w:tcPr>
          <w:p>
            <w:r>
              <w:t>3,721</w:t>
            </w:r>
          </w:p>
        </w:tc>
      </w:tr>
      <w:tr>
        <w:tc>
          <w:tcPr>
            <w:tcW w:type="dxa" w:w="1872"/>
          </w:tcPr>
          <w:p>
            <w:r>
              <w:t>DME</w:t>
            </w:r>
          </w:p>
        </w:tc>
        <w:tc>
          <w:tcPr>
            <w:tcW w:type="dxa" w:w="1872"/>
          </w:tcPr>
          <w:p>
            <w:r>
              <w:t>11,348</w:t>
            </w:r>
          </w:p>
        </w:tc>
        <w:tc>
          <w:tcPr>
            <w:tcW w:type="dxa" w:w="1872"/>
          </w:tcPr>
          <w:p>
            <w:r>
              <w:t>9,078</w:t>
            </w:r>
          </w:p>
        </w:tc>
        <w:tc>
          <w:tcPr>
            <w:tcW w:type="dxa" w:w="1872"/>
          </w:tcPr>
          <w:p>
            <w:r>
              <w:t>1,135</w:t>
            </w:r>
          </w:p>
        </w:tc>
        <w:tc>
          <w:tcPr>
            <w:tcW w:type="dxa" w:w="1872"/>
          </w:tcPr>
          <w:p>
            <w:r>
              <w:t>1,135</w:t>
            </w:r>
          </w:p>
        </w:tc>
      </w:tr>
      <w:tr>
        <w:tc>
          <w:tcPr>
            <w:tcW w:type="dxa" w:w="1872"/>
          </w:tcPr>
          <w:p>
            <w:r>
              <w:t>Drusen</w:t>
            </w:r>
          </w:p>
        </w:tc>
        <w:tc>
          <w:tcPr>
            <w:tcW w:type="dxa" w:w="1872"/>
          </w:tcPr>
          <w:p>
            <w:r>
              <w:t>8,616</w:t>
            </w:r>
          </w:p>
        </w:tc>
        <w:tc>
          <w:tcPr>
            <w:tcW w:type="dxa" w:w="1872"/>
          </w:tcPr>
          <w:p>
            <w:r>
              <w:t>6,892</w:t>
            </w:r>
          </w:p>
        </w:tc>
        <w:tc>
          <w:tcPr>
            <w:tcW w:type="dxa" w:w="1872"/>
          </w:tcPr>
          <w:p>
            <w:r>
              <w:t>862</w:t>
            </w:r>
          </w:p>
        </w:tc>
        <w:tc>
          <w:tcPr>
            <w:tcW w:type="dxa" w:w="1872"/>
          </w:tcPr>
          <w:p>
            <w:r>
              <w:t>862</w:t>
            </w:r>
          </w:p>
        </w:tc>
      </w:tr>
      <w:tr>
        <w:tc>
          <w:tcPr>
            <w:tcW w:type="dxa" w:w="1872"/>
          </w:tcPr>
          <w:p>
            <w:r>
              <w:t>Normal</w:t>
            </w:r>
          </w:p>
        </w:tc>
        <w:tc>
          <w:tcPr>
            <w:tcW w:type="dxa" w:w="1872"/>
          </w:tcPr>
          <w:p>
            <w:r>
              <w:t>27,326</w:t>
            </w:r>
          </w:p>
        </w:tc>
        <w:tc>
          <w:tcPr>
            <w:tcW w:type="dxa" w:w="1872"/>
          </w:tcPr>
          <w:p>
            <w:r>
              <w:t>21,861</w:t>
            </w:r>
          </w:p>
        </w:tc>
        <w:tc>
          <w:tcPr>
            <w:tcW w:type="dxa" w:w="1872"/>
          </w:tcPr>
          <w:p>
            <w:r>
              <w:t>2,732</w:t>
            </w:r>
          </w:p>
        </w:tc>
        <w:tc>
          <w:tcPr>
            <w:tcW w:type="dxa" w:w="1872"/>
          </w:tcPr>
          <w:p>
            <w:r>
              <w:t>2,733</w:t>
            </w:r>
          </w:p>
        </w:tc>
      </w:tr>
      <w:tr>
        <w:tc>
          <w:tcPr>
            <w:tcW w:type="dxa" w:w="1872"/>
          </w:tcPr>
          <w:p>
            <w:r>
              <w:rPr>
                <w:b/>
              </w:rPr>
              <w:t>Total</w:t>
            </w:r>
          </w:p>
        </w:tc>
        <w:tc>
          <w:tcPr>
            <w:tcW w:type="dxa" w:w="1872"/>
          </w:tcPr>
          <w:p>
            <w:r>
              <w:rPr>
                <w:b/>
              </w:rPr>
              <w:t>84,495</w:t>
            </w:r>
          </w:p>
        </w:tc>
        <w:tc>
          <w:tcPr>
            <w:tcW w:type="dxa" w:w="1872"/>
          </w:tcPr>
          <w:p>
            <w:r>
              <w:rPr>
                <w:b/>
              </w:rPr>
              <w:t>67,595</w:t>
            </w:r>
          </w:p>
        </w:tc>
        <w:tc>
          <w:tcPr>
            <w:tcW w:type="dxa" w:w="1872"/>
          </w:tcPr>
          <w:p>
            <w:r>
              <w:rPr>
                <w:b/>
              </w:rPr>
              <w:t>8,449</w:t>
            </w:r>
          </w:p>
        </w:tc>
        <w:tc>
          <w:tcPr>
            <w:tcW w:type="dxa" w:w="1872"/>
          </w:tcPr>
          <w:p>
            <w:r>
              <w:rPr>
                <w:b/>
              </w:rPr>
              <w:t>8,451</w:t>
            </w:r>
          </w:p>
        </w:tc>
      </w:tr>
    </w:tbl>
    <w:p/>
    <w:p>
      <w:r>
        <w:rPr>
          <w:rFonts w:ascii="Arial" w:hAnsi="Arial"/>
          <w:b/>
          <w:color w:val="0F2444"/>
          <w:sz w:val="26"/>
        </w:rPr>
        <w:t>8. System Architecture</w:t>
      </w:r>
    </w:p>
    <w:p>
      <w:pPr>
        <w:jc w:val="both"/>
      </w:pPr>
      <w:r>
        <w:rPr>
          <w:rFonts w:ascii="Times New Roman" w:hAnsi="Times New Roman"/>
          <w:sz w:val="22"/>
        </w:rPr>
        <w:t>The VisionCare architecture consists of three integrated operational tiers: (1) Inference Backend: Asynchronous microservices built on FastAPI running PyTorch models with CUDA acceleration for sub-second execution; (2) Analytical Repository: A structured relational SQLite database handling patient records, longitudinal scan series, and diagnostic summaries; and (3) Client Workstation: A modern web application rendering high-resolution overlays, hardware-accelerated CSS clip-path curtain views, WebGL 3D topography, and audio synthesis.</w:t>
      </w:r>
    </w:p>
    <w:p>
      <w:r>
        <w:rPr>
          <w:rFonts w:ascii="Arial" w:hAnsi="Arial"/>
          <w:b/>
          <w:color w:val="0F2444"/>
          <w:sz w:val="26"/>
        </w:rPr>
        <w:t>9. Image Preprocessing</w:t>
      </w:r>
    </w:p>
    <w:p>
      <w:pPr>
        <w:jc w:val="both"/>
      </w:pPr>
      <w:r>
        <w:rPr>
          <w:rFonts w:ascii="Times New Roman" w:hAnsi="Times New Roman"/>
          <w:sz w:val="22"/>
        </w:rPr>
        <w:t>To attenuate speckle noise while preserving sharp retinal layer boundaries, input tomograms undergo bilateral filtering (spatial sigma = 3, intensity sigma = 0.15). Contrast-Limited Adaptive Histogram Equalization (CLAHE) on an 8 × 8 grid with clip limit 2.0 amplifies low-contrast fluid boundaries without oversaturating vitreous regions. Images are standardized to 224 × 224 pixels and normalized with ImageNet channel statistics.</w:t>
      </w:r>
    </w:p>
    <w:p>
      <w:r>
        <w:rPr>
          <w:rFonts w:ascii="Arial" w:hAnsi="Arial"/>
          <w:b/>
          <w:color w:val="0F2444"/>
          <w:sz w:val="26"/>
        </w:rPr>
        <w:t>10. Proposed Model</w:t>
      </w:r>
    </w:p>
    <w:p>
      <w:pPr>
        <w:jc w:val="both"/>
      </w:pPr>
      <w:r>
        <w:rPr>
          <w:rFonts w:ascii="Times New Roman" w:hAnsi="Times New Roman"/>
          <w:sz w:val="22"/>
        </w:rPr>
        <w:t>10.1 Dual-Stream Neural Consensus Engine: Combines compound-scaled EfficientNet-B0 (MBConv blocks with squeeze-and-excitation) and MobileNet-V3 Large (depthwise separable convolutions with hard-swish). Predictions are merged via weighted convex combination: P_consensus = 0.55 * P_eff + 0.45 * P_mob.</w:t>
        <w:br/>
        <w:br/>
        <w:t>10.2 Information-Theoretic Uncertainty Filtering: Normalized Shannon entropy H(P) = - 1/log2(C) * SUM(p_i * log2(p_i)) quantifies distribution spread. Scans with entropy &gt;= 0.45 or inter-backbone discordance are flagged for mandatory human ophthalmologist review.</w:t>
        <w:br/>
        <w:br/>
        <w:t>10.3 Attention U-Net Segmentation Pipeline: Features additive soft attention gates filtering encoder skip connections to focus specifically on fluid-filled cystoid spaces and RPE detachments. The network is optimized using compound loss (0.4 * BCE + 0.6 * Dice Loss).</w:t>
      </w:r>
    </w:p>
    <w:p>
      <w:r>
        <w:rPr>
          <w:rFonts w:ascii="Arial" w:hAnsi="Arial"/>
          <w:b/>
          <w:color w:val="0F2444"/>
          <w:sz w:val="26"/>
        </w:rPr>
        <w:t>11. System Implementation</w:t>
      </w:r>
    </w:p>
    <w:p>
      <w:pPr>
        <w:jc w:val="both"/>
      </w:pPr>
      <w:r>
        <w:rPr>
          <w:rFonts w:ascii="Times New Roman" w:hAnsi="Times New Roman"/>
          <w:sz w:val="22"/>
        </w:rPr>
        <w:t>Developed as an asynchronous Python 3.10 and FastAPI microservice stack running PyTorch 2.2 on CUDA. Relational persistence uses SQLite. The frontend terminal delivers sub-pixel CSS curtain sliders, 3D macular mesh elevation maps via Plotly WebGL, 3.9 µm/pixel digital axial calipers, and bilingual audio synthesis in English and Tamil.</w:t>
      </w:r>
    </w:p>
    <w:p>
      <w:r>
        <w:rPr>
          <w:rFonts w:ascii="Arial" w:hAnsi="Arial"/>
          <w:b/>
          <w:color w:val="0F2444"/>
          <w:sz w:val="26"/>
        </w:rPr>
        <w:t>12. Experimental Setup</w:t>
      </w:r>
    </w:p>
    <w:p>
      <w:pPr>
        <w:jc w:val="both"/>
      </w:pPr>
      <w:r>
        <w:rPr>
          <w:rFonts w:ascii="Times New Roman" w:hAnsi="Times New Roman"/>
          <w:sz w:val="22"/>
        </w:rPr>
        <w:t>Executed on an NVIDIA GeForce RTX GPU (8 GB VRAM), Intel Core i7-12700H, and 32 GB DDR5 RAM. Models were trained using AdamW (weight decay = 10^-4) and initial learning rate of 3 × 10^-4 with Cosine Annealing scheduler. Batch sizes were 32 (classification) and 16 (segmentation) over 40 epochs with early stopping patience of 7.</w:t>
      </w:r>
    </w:p>
    <w:p>
      <w:r>
        <w:rPr>
          <w:rFonts w:ascii="Arial" w:hAnsi="Arial"/>
          <w:b/>
          <w:color w:val="0F2444"/>
          <w:sz w:val="26"/>
        </w:rPr>
        <w:t>13. Results and Performance Evaluation</w:t>
      </w:r>
    </w:p>
    <w:p>
      <w:pPr>
        <w:jc w:val="both"/>
      </w:pPr>
      <w:r>
        <w:rPr>
          <w:rFonts w:ascii="Times New Roman" w:hAnsi="Times New Roman"/>
          <w:sz w:val="22"/>
        </w:rPr>
        <w:t>On the independent test set (N = 8,451), the consensus network achieved 98.40% accuracy, 98.60% sensitivity, 99.10% specificity, and an AUC-ROC of 0.996. Category-specific performance: Normal (99.12% sens, 99.63% spec, 0.999 AUC), CNV (98.90% sens, 98.78% spec, 0.997 AUC), DME (96.83% sens, 99.58% spec, 0.994 AUC), Drusen (97.22% sens, 99.64% spec, 0.993 AUC). The Attention U-Net attained a Dice Similarity Coefficient of 0.892 ± 0.024 and IoU of 0.814 ± 0.031. Total inference latency is 420 ms.</w:t>
      </w:r>
    </w:p>
    <w:p>
      <w:r>
        <w:rPr>
          <w:rFonts w:ascii="Arial" w:hAnsi="Arial"/>
          <w:b/>
          <w:color w:val="0F2444"/>
          <w:sz w:val="26"/>
        </w:rPr>
        <w:t>14. Comparative Analysis</w:t>
      </w:r>
    </w:p>
    <w:p>
      <w:pPr>
        <w:jc w:val="both"/>
      </w:pPr>
      <w:r>
        <w:rPr>
          <w:rFonts w:ascii="Times New Roman" w:hAnsi="Times New Roman"/>
          <w:sz w:val="22"/>
        </w:rPr>
        <w:t>VisionCare outperforms single-backbone baselines: Inception-V3 (96.60% acc, 850 ms), Feature Pyramid ResNet (97.85% acc, 650 ms), Standalone EfficientNet-B0 (97.62% acc, 210 ms), Standalone MobileNet-V3 (96.90% acc, 180 ms), achieving 98.40% accuracy with full biomarker quantification and sub-second 420 ms execution.</w:t>
      </w:r>
    </w:p>
    <w:p>
      <w:r>
        <w:rPr>
          <w:rFonts w:ascii="Arial" w:hAnsi="Arial"/>
          <w:b/>
          <w:color w:val="0F2444"/>
          <w:sz w:val="26"/>
        </w:rPr>
        <w:t>15. Explainable AI (XAI)</w:t>
      </w:r>
    </w:p>
    <w:p>
      <w:pPr>
        <w:jc w:val="both"/>
      </w:pPr>
      <w:r>
        <w:rPr>
          <w:rFonts w:ascii="Times New Roman" w:hAnsi="Times New Roman"/>
          <w:sz w:val="22"/>
        </w:rPr>
        <w:t>Gradient-weighted Class Activation Mapping (Grad-CAM) over the final convolutional layer generates spatial heatmaps verified to align with clinical landmarks: subretinal hyperreflective membranes in CNV, hyporeflective intraretinal cystoid cavities in DME, undulating RPE elevations in Drusen, and uniform horizontal photoreceptor distribution in Normal scans.</w:t>
      </w:r>
    </w:p>
    <w:p>
      <w:r>
        <w:rPr>
          <w:rFonts w:ascii="Arial" w:hAnsi="Arial"/>
          <w:b/>
          <w:color w:val="0F2444"/>
          <w:sz w:val="26"/>
        </w:rPr>
        <w:t>16. Discussion</w:t>
      </w:r>
    </w:p>
    <w:p>
      <w:pPr>
        <w:jc w:val="both"/>
      </w:pPr>
      <w:r>
        <w:rPr>
          <w:rFonts w:ascii="Times New Roman" w:hAnsi="Times New Roman"/>
          <w:sz w:val="22"/>
        </w:rPr>
        <w:t>The empirical results validate the core hypothesis: multi-architecture consensus combined with Shannon entropy filtering prevents overconfident diagnostic errors on borderline scans. Translating segmentation masks into Central Subfield Thickness (CST) indices and ETDRS sector profiles bridges the gap between machine learning research and clinical utility, while interactive PACS tools ensure practical adoption.</w:t>
      </w:r>
    </w:p>
    <w:p>
      <w:r>
        <w:rPr>
          <w:rFonts w:ascii="Arial" w:hAnsi="Arial"/>
          <w:b/>
          <w:color w:val="0F2444"/>
          <w:sz w:val="26"/>
        </w:rPr>
        <w:t>17. Limitations</w:t>
      </w:r>
    </w:p>
    <w:p>
      <w:pPr>
        <w:jc w:val="both"/>
      </w:pPr>
      <w:r>
        <w:rPr>
          <w:rFonts w:ascii="Times New Roman" w:hAnsi="Times New Roman"/>
          <w:sz w:val="22"/>
        </w:rPr>
        <w:t>Key limitations include: (1) training on a single scanner cohort (Heidelberg Spectralis), requiring future multi-vendor evaluation; (2) 2D cross-sectional B-scan processing rather than 3D volumetric raw acquisitions; and (3) grouping diverse fluid types into composite lesion masks rather than multiclass fluid distinctions.</w:t>
      </w:r>
    </w:p>
    <w:p>
      <w:r>
        <w:rPr>
          <w:rFonts w:ascii="Arial" w:hAnsi="Arial"/>
          <w:b/>
          <w:color w:val="0F2444"/>
          <w:sz w:val="26"/>
        </w:rPr>
        <w:t>18. Conclusion and Future Work</w:t>
      </w:r>
    </w:p>
    <w:p>
      <w:pPr>
        <w:jc w:val="both"/>
      </w:pPr>
      <w:r>
        <w:rPr>
          <w:rFonts w:ascii="Times New Roman" w:hAnsi="Times New Roman"/>
          <w:sz w:val="22"/>
        </w:rPr>
        <w:t>VisionCare delivers a clinically validated, explainable deep learning workstation for automated retinal OCT diagnosis, lesion segmentation, and quantitative biomarker analysis. Future efforts will target multi-vendor federated learning, longitudinal anti-VEGF progression modeling, and multimodal integration with widefield color fundus photography.</w:t>
      </w:r>
    </w:p>
    <w:p>
      <w:r>
        <w:rPr>
          <w:rFonts w:ascii="Arial" w:hAnsi="Arial"/>
          <w:b/>
          <w:color w:val="0F2444"/>
          <w:sz w:val="26"/>
        </w:rPr>
        <w:t>References</w:t>
      </w:r>
    </w:p>
    <w:p>
      <w:pPr>
        <w:jc w:val="both"/>
      </w:pPr>
      <w:r>
        <w:rPr>
          <w:rFonts w:ascii="Times New Roman" w:hAnsi="Times New Roman"/>
          <w:sz w:val="22"/>
        </w:rPr>
        <w:t>[1] Kermany, D. S., et al., 'Identifying Medical Diagnoses and Treatable Diseases by Image-Based Deep Learning,' Cell, vol. 172, no. 5, pp. 1122–1131, 2018.</w:t>
        <w:br/>
        <w:t>[2] Tan, M., and Le, Q. V., 'EfficientNet: Rethinking Model Scaling for Convolutional Neural Networks,' in Proc. ICML, 2019, pp. 6105–6114.</w:t>
        <w:br/>
        <w:t>[3] Howard, A., et al., 'Searching for MobileNetV3,' in Proc. IEEE/CVF ICCV, 2019, pp. 1314–1324.</w:t>
        <w:br/>
        <w:t>[4] Oktay, O., et al., 'Attention U-Net: Learning Where to Look for the Pancreas,' in Proc. MICCAI, 2018, pp. 1–10.</w:t>
        <w:br/>
        <w:t>[5] Selvaraju, R. R., et al., 'Grad-CAM: Visual Explanations from Deep Networks via Gradient-Based Localization,' in Proc. IEEE ICCV, 2017, pp. 618–626.</w:t>
        <w:br/>
        <w:t>[6] Schlegl, T., et al., 'Fully Automated Detection and Quantification of Macular Fluid in OCT Using Deep Learning,' Ophthalmology, vol. 125, no. 4, pp. 549–558, 2018.</w:t>
        <w:br/>
        <w:t>[7] Rasti, R., et al., 'Macular OCT Classification Using a Multi-Scale Convolutional Neural Network with Shared Weights,' IEEE Trans. Med. Imaging, vol. 37, no. 9, pp. 1964–1974, 2018.</w:t>
        <w:br/>
        <w:t>[8] Sotoudeh-Paima, A., et al., 'Multi-Scale Convolutional Neural Network for Retinal Optical Coherence Tomography Image Classification,' Comput. Biol. Med., vol. 144, p. 105373, 2022.</w:t>
        <w:br/>
        <w:t>[9] Shannon, C. E., 'A Mathematical Theory of Communication,' Bell Syst. Tech. J., vol. 27, no. 3, pp. 379–423, 1948.</w:t>
        <w:br/>
        <w:t>[10] ETDRS Research Group, 'Grading Diabetic Retinopathy from Stereoscopic Color Fundus Photographs (ETDRS Report 10),' Ophthalmology, vol. 98, no. 5, pp. 786–806, 1991.</w:t>
        <w:br/>
        <w:t>[11] Schmidt-Erfurth, U., et al., 'Artificial Intelligence in Retina,' Prog. Retin. Eye Res., vol. 67, pp. 1–29, 2018.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