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51D1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951D10" w:rsidRDefault="00697820">
            <w:pPr>
              <w:spacing w:after="80"/>
            </w:pPr>
            <w:r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>Embedding</w:t>
            </w:r>
            <w:r w:rsidR="00F00548"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 xml:space="preserve"> Systems · Technical Article</w:t>
            </w:r>
          </w:p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FFFFFF"/>
                <w:sz w:val="40"/>
                <w:szCs w:val="40"/>
              </w:rPr>
              <w:t>Part C</w:t>
            </w:r>
          </w:p>
        </w:tc>
      </w:tr>
    </w:tbl>
    <w:p w:rsidR="00951D10" w:rsidRDefault="00F00548">
      <w:pPr>
        <w:spacing w:before="520" w:after="160" w:line="340" w:lineRule="auto"/>
      </w:pPr>
      <w:r>
        <w:rPr>
          <w:rFonts w:ascii="Cambria" w:eastAsia="Cambria" w:hAnsi="Cambria" w:cs="Cambria"/>
          <w:b/>
          <w:bCs/>
          <w:color w:val="1F3A5F"/>
          <w:sz w:val="48"/>
          <w:szCs w:val="48"/>
        </w:rPr>
        <w:t>Implementing the Completely Fair Scheduler (CFS) with a Combination of Semaphores and Monitors</w:t>
      </w:r>
    </w:p>
    <w:p w:rsidR="00951D10" w:rsidRDefault="00F00548">
      <w:pPr>
        <w:pBdr>
          <w:bottom w:val="single" w:sz="18" w:space="10" w:color="E8A23B"/>
        </w:pBdr>
        <w:spacing w:after="240" w:line="320" w:lineRule="auto"/>
      </w:pPr>
      <w:r>
        <w:rPr>
          <w:rFonts w:ascii="Cambria" w:eastAsia="Cambria" w:hAnsi="Cambria" w:cs="Cambria"/>
          <w:color w:val="0F9D9A"/>
          <w:sz w:val="26"/>
          <w:szCs w:val="26"/>
        </w:rPr>
        <w:t xml:space="preserve">A hybrid CFS design in which a monitor protects the run queue and semaphores handle </w:t>
      </w:r>
      <w:proofErr w:type="spellStart"/>
      <w:r>
        <w:rPr>
          <w:rFonts w:ascii="Cambria" w:eastAsia="Cambria" w:hAnsi="Cambria" w:cs="Cambria"/>
          <w:color w:val="0F9D9A"/>
          <w:sz w:val="26"/>
          <w:szCs w:val="26"/>
        </w:rPr>
        <w:t>signalling</w:t>
      </w:r>
      <w:proofErr w:type="spellEnd"/>
      <w:r>
        <w:rPr>
          <w:rFonts w:ascii="Cambria" w:eastAsia="Cambria" w:hAnsi="Cambria" w:cs="Cambria"/>
          <w:color w:val="0F9D9A"/>
          <w:sz w:val="26"/>
          <w:szCs w:val="26"/>
        </w:rPr>
        <w:t xml:space="preserve"> and capacity limits</w:t>
      </w:r>
    </w:p>
    <w:p w:rsidR="00951D10" w:rsidRDefault="00F00548">
      <w:pPr>
        <w:keepNext/>
        <w:spacing w:before="200" w:after="12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Article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Title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b/>
                <w:bCs/>
                <w:color w:val="1F3A5F"/>
                <w:sz w:val="21"/>
                <w:szCs w:val="21"/>
              </w:rPr>
              <w:t>Implementing the Completely Fair Scheduler (CFS) with a Combination of Semaphores and Monitors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Topic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sz w:val="21"/>
                <w:szCs w:val="21"/>
              </w:rPr>
              <w:t xml:space="preserve">A hybrid CFS design in which a monitor protects the run queue and semaphores handle </w:t>
            </w:r>
            <w:proofErr w:type="spellStart"/>
            <w:r>
              <w:rPr>
                <w:sz w:val="21"/>
                <w:szCs w:val="21"/>
              </w:rPr>
              <w:t>signalling</w:t>
            </w:r>
            <w:proofErr w:type="spellEnd"/>
            <w:r>
              <w:rPr>
                <w:sz w:val="21"/>
                <w:szCs w:val="21"/>
              </w:rPr>
              <w:t xml:space="preserve"> and capacity limits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Part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sz w:val="21"/>
                <w:szCs w:val="21"/>
              </w:rPr>
              <w:t>Part C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Language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sz w:val="21"/>
                <w:szCs w:val="21"/>
              </w:rPr>
              <w:t>English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Field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697820">
            <w:r w:rsidRPr="00697820">
              <w:rPr>
                <w:sz w:val="21"/>
                <w:szCs w:val="21"/>
              </w:rPr>
              <w:t>Embedding</w:t>
            </w:r>
            <w:r w:rsidR="00F00548">
              <w:rPr>
                <w:sz w:val="21"/>
                <w:szCs w:val="21"/>
              </w:rPr>
              <w:t xml:space="preserve"> Systems — process scheduling and synchronization</w:t>
            </w:r>
          </w:p>
        </w:tc>
      </w:tr>
      <w:tr w:rsidR="00697820" w:rsidTr="00A75D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97820" w:rsidRDefault="00697820" w:rsidP="0069782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Author(s)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97820" w:rsidRPr="005C6142" w:rsidRDefault="00697820" w:rsidP="00697820">
            <w:proofErr w:type="spellStart"/>
            <w:r w:rsidRPr="005C6142">
              <w:t>Mohammadreza</w:t>
            </w:r>
            <w:proofErr w:type="spellEnd"/>
            <w:r w:rsidRPr="005C6142">
              <w:t xml:space="preserve"> Azodi</w:t>
            </w:r>
          </w:p>
        </w:tc>
      </w:tr>
      <w:tr w:rsidR="00697820" w:rsidTr="00A75D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97820" w:rsidRDefault="00697820" w:rsidP="0069782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Course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97820" w:rsidRPr="005C6142" w:rsidRDefault="00697820" w:rsidP="00697820">
            <w:r w:rsidRPr="005C6142">
              <w:t>Real time Systems</w:t>
            </w:r>
          </w:p>
        </w:tc>
      </w:tr>
      <w:tr w:rsidR="00697820" w:rsidTr="00A75D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97820" w:rsidRDefault="00697820" w:rsidP="0069782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Supervisor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97820" w:rsidRPr="005C6142" w:rsidRDefault="00697820" w:rsidP="00697820">
            <w:r w:rsidRPr="005C6142">
              <w:t xml:space="preserve">Mr. Majid </w:t>
            </w:r>
            <w:proofErr w:type="spellStart"/>
            <w:r w:rsidRPr="005C6142">
              <w:t>Shamshirgaran</w:t>
            </w:r>
            <w:proofErr w:type="spellEnd"/>
          </w:p>
        </w:tc>
      </w:tr>
      <w:tr w:rsidR="00697820" w:rsidTr="00A75D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97820" w:rsidRDefault="00697820" w:rsidP="0069782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University / Faculty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97820" w:rsidRPr="005C6142" w:rsidRDefault="00697820" w:rsidP="00697820">
            <w:proofErr w:type="spellStart"/>
            <w:r w:rsidRPr="005C6142">
              <w:t>Eshragh</w:t>
            </w:r>
            <w:proofErr w:type="spellEnd"/>
            <w:r w:rsidRPr="005C6142">
              <w:t xml:space="preserve"> university</w:t>
            </w:r>
          </w:p>
        </w:tc>
      </w:tr>
      <w:tr w:rsidR="00697820" w:rsidTr="00A75D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697820" w:rsidRDefault="00697820" w:rsidP="00697820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Date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97820" w:rsidRDefault="00697820" w:rsidP="00697820">
            <w:r>
              <w:rPr>
                <w:sz w:val="21"/>
                <w:szCs w:val="21"/>
              </w:rPr>
              <w:t xml:space="preserve">October 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 xml:space="preserve">, 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2026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Keywords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51D10" w:rsidRDefault="00F00548">
            <w:r>
              <w:rPr>
                <w:sz w:val="21"/>
                <w:szCs w:val="21"/>
              </w:rPr>
              <w:t>CFS, semaphore, monitor, hybrid approach, scheduling, synchronization</w:t>
            </w:r>
          </w:p>
        </w:tc>
      </w:tr>
    </w:tbl>
    <w:p w:rsidR="00951D10" w:rsidRDefault="00F00548">
      <w:pPr>
        <w:keepNext/>
        <w:spacing w:before="300" w:after="10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Contents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1. Abstract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2. Introduction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3. Why Combine Them?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4. Proposed Architecture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5. Pseudocode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6. Algorithm Flowchart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7. Comparing the Three Approaches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8. Concurrency Problems and Solutions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9. Conclusion</w:t>
      </w:r>
    </w:p>
    <w:p w:rsidR="00951D10" w:rsidRPr="00697820" w:rsidRDefault="00F00548">
      <w:pPr>
        <w:spacing w:after="30" w:line="280" w:lineRule="auto"/>
        <w:ind w:left="300"/>
        <w:rPr>
          <w:rFonts w:ascii="Microsoft New Tai Lue" w:hAnsi="Microsoft New Tai Lue" w:cs="Microsoft New Tai Lue"/>
          <w:sz w:val="20"/>
          <w:szCs w:val="20"/>
        </w:rPr>
      </w:pPr>
      <w:r w:rsidRPr="00697820">
        <w:rPr>
          <w:rFonts w:ascii="Microsoft New Tai Lue" w:hAnsi="Microsoft New Tai Lue" w:cs="Microsoft New Tai Lue"/>
          <w:color w:val="33475B"/>
          <w:sz w:val="20"/>
          <w:szCs w:val="20"/>
        </w:rPr>
        <w:t>10. References</w:t>
      </w:r>
    </w:p>
    <w:p w:rsidR="00951D10" w:rsidRDefault="00951D10">
      <w:pPr>
        <w:sectPr w:rsidR="00951D10" w:rsidSect="00697820">
          <w:pgSz w:w="11906" w:h="16838"/>
          <w:pgMar w:top="900" w:right="1134" w:bottom="90" w:left="1134" w:header="560" w:footer="500" w:gutter="0"/>
          <w:cols w:space="720"/>
          <w:docGrid w:linePitch="360"/>
        </w:sectPr>
      </w:pP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Abstract</w:t>
      </w:r>
    </w:p>
    <w:p w:rsidR="00951D10" w:rsidRDefault="00F00548">
      <w:pPr>
        <w:spacing w:after="140" w:line="312" w:lineRule="auto"/>
        <w:jc w:val="both"/>
      </w:pPr>
      <w:r>
        <w:t>Monitors and semaphores have different strengths. A monitor suits protecting a shared data structure; a semaphore suits counting resources and coordinating thre</w:t>
      </w:r>
      <w:r>
        <w:t>ads. This article presents a hybrid design in which the red-black tree stays inside a monitor, while two counting semaphores control the number of ready tasks and the queue capacity.</w:t>
      </w:r>
    </w:p>
    <w:p w:rsidR="00951D10" w:rsidRDefault="00F00548">
      <w:pPr>
        <w:spacing w:after="140" w:line="312" w:lineRule="auto"/>
        <w:jc w:val="both"/>
      </w:pPr>
      <w:r>
        <w:rPr>
          <w:b/>
          <w:bCs/>
          <w:color w:val="1F3A5F"/>
        </w:rPr>
        <w:t>Keywords:</w:t>
      </w:r>
      <w:r>
        <w:t xml:space="preserve"> CFS, semaphore, monitor, hybrid approach, scheduling, synchronization</w:t>
      </w: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Introduction</w:t>
      </w:r>
    </w:p>
    <w:p w:rsidR="00951D10" w:rsidRDefault="00F00548">
      <w:pPr>
        <w:spacing w:after="140" w:line="312" w:lineRule="auto"/>
        <w:jc w:val="both"/>
      </w:pPr>
      <w:r>
        <w:t>Parts A and B examined the two techniques separately. Many real systems use both: the monitor gives safety and readability for the run queue, and the semaphore simplifies n</w:t>
      </w:r>
      <w:r>
        <w:t>otifying the scheduler and bounding the queue.</w:t>
      </w:r>
    </w:p>
    <w:p w:rsidR="00951D10" w:rsidRDefault="00F00548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Objectives</w:t>
      </w:r>
    </w:p>
    <w:p w:rsidR="00951D10" w:rsidRDefault="00F00548">
      <w:pPr>
        <w:pStyle w:val="ListParagraph"/>
        <w:numPr>
          <w:ilvl w:val="0"/>
          <w:numId w:val="2"/>
        </w:numPr>
        <w:spacing w:after="60" w:line="312" w:lineRule="auto"/>
      </w:pPr>
      <w:r>
        <w:t>Divide responsibilities between the monitor and the semaphores</w:t>
      </w:r>
    </w:p>
    <w:p w:rsidR="00951D10" w:rsidRDefault="00F00548">
      <w:pPr>
        <w:pStyle w:val="ListParagraph"/>
        <w:numPr>
          <w:ilvl w:val="0"/>
          <w:numId w:val="2"/>
        </w:numPr>
        <w:spacing w:after="60" w:line="312" w:lineRule="auto"/>
      </w:pPr>
      <w:r>
        <w:t>Design a bounded producer–consumer scheme</w:t>
      </w:r>
    </w:p>
    <w:p w:rsidR="00951D10" w:rsidRDefault="00F00548">
      <w:pPr>
        <w:pStyle w:val="ListParagraph"/>
        <w:numPr>
          <w:ilvl w:val="0"/>
          <w:numId w:val="2"/>
        </w:numPr>
        <w:spacing w:after="60" w:line="312" w:lineRule="auto"/>
      </w:pPr>
      <w:r>
        <w:t>Provide pseudocode, a flowchart and a comparison with the earlier approaches</w:t>
      </w: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Why Combine Them?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4"/>
        <w:gridCol w:w="3244"/>
        <w:gridCol w:w="3150"/>
      </w:tblGrid>
      <w:tr w:rsidR="00951D1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Need</w:t>
            </w:r>
          </w:p>
        </w:tc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Suitable tool</w:t>
            </w:r>
          </w:p>
        </w:tc>
        <w:tc>
          <w:tcPr>
            <w:tcW w:w="31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Reason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Protect the red-black tree</w:t>
            </w:r>
          </w:p>
        </w:tc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Monitor</w:t>
            </w:r>
          </w:p>
        </w:tc>
        <w:tc>
          <w:tcPr>
            <w:tcW w:w="31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Atomic methods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Limit the number of queued tasks</w:t>
            </w:r>
          </w:p>
        </w:tc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Counting semaphore</w:t>
            </w:r>
          </w:p>
        </w:tc>
        <w:tc>
          <w:tcPr>
            <w:tcW w:w="31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Counts free capacity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Wake the scheduler when work arrives</w:t>
            </w:r>
          </w:p>
        </w:tc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Event semaphore</w:t>
            </w:r>
          </w:p>
        </w:tc>
        <w:tc>
          <w:tcPr>
            <w:tcW w:w="31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Notification without busy waiting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Complex condition waiting</w:t>
            </w:r>
          </w:p>
        </w:tc>
        <w:tc>
          <w:tcPr>
            <w:tcW w:w="32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Condition variable inside the monitor</w:t>
            </w:r>
          </w:p>
        </w:tc>
        <w:tc>
          <w:tcPr>
            <w:tcW w:w="31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More flexibility</w:t>
            </w:r>
          </w:p>
        </w:tc>
      </w:tr>
    </w:tbl>
    <w:p w:rsidR="00951D10" w:rsidRDefault="00951D10">
      <w:pPr>
        <w:spacing w:after="140"/>
      </w:pP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Proposed Architecture</w:t>
      </w:r>
    </w:p>
    <w:p w:rsidR="00951D10" w:rsidRDefault="00F00548">
      <w:pPr>
        <w:spacing w:after="140" w:line="312" w:lineRule="auto"/>
        <w:jc w:val="both"/>
      </w:pPr>
      <w:r>
        <w:t xml:space="preserve">The run queue lives inside a monitor called </w:t>
      </w:r>
      <w:proofErr w:type="spellStart"/>
      <w:r>
        <w:t>CFSMonitor</w:t>
      </w:r>
      <w:proofErr w:type="spellEnd"/>
      <w:r>
        <w:t>. Two semaphores sit outside it:</w:t>
      </w:r>
    </w:p>
    <w:p w:rsidR="00951D10" w:rsidRDefault="00F00548">
      <w:pPr>
        <w:pStyle w:val="ListParagraph"/>
        <w:numPr>
          <w:ilvl w:val="0"/>
          <w:numId w:val="3"/>
        </w:numPr>
        <w:spacing w:after="60" w:line="312" w:lineRule="auto"/>
      </w:pPr>
      <w:proofErr w:type="gramStart"/>
      <w:r>
        <w:rPr>
          <w:rFonts w:ascii="Consolas" w:eastAsia="Consolas" w:hAnsi="Consolas" w:cs="Consolas"/>
          <w:color w:val="B4410F"/>
          <w:sz w:val="20"/>
          <w:szCs w:val="20"/>
          <w:shd w:val="clear" w:color="auto" w:fill="FDF1E6"/>
        </w:rPr>
        <w:t>slots</w:t>
      </w:r>
      <w:proofErr w:type="gramEnd"/>
      <w:r>
        <w:t xml:space="preserve"> (counting, initial value N = queue capacity): free positions; producers wait on it before entering the monitor.</w:t>
      </w:r>
    </w:p>
    <w:p w:rsidR="00951D10" w:rsidRDefault="00F00548">
      <w:pPr>
        <w:pStyle w:val="ListParagraph"/>
        <w:numPr>
          <w:ilvl w:val="0"/>
          <w:numId w:val="3"/>
        </w:numPr>
        <w:spacing w:after="60" w:line="312" w:lineRule="auto"/>
      </w:pPr>
      <w:proofErr w:type="gramStart"/>
      <w:r>
        <w:rPr>
          <w:rFonts w:ascii="Consolas" w:eastAsia="Consolas" w:hAnsi="Consolas" w:cs="Consolas"/>
          <w:color w:val="B4410F"/>
          <w:sz w:val="20"/>
          <w:szCs w:val="20"/>
          <w:shd w:val="clear" w:color="auto" w:fill="FDF1E6"/>
        </w:rPr>
        <w:t>ready</w:t>
      </w:r>
      <w:proofErr w:type="gramEnd"/>
      <w:r>
        <w:t xml:space="preserve"> (counting, initial value 0): number of ready tasks; the scheduler waits on it before entering the monitor.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8"/>
        <w:gridCol w:w="2054"/>
        <w:gridCol w:w="3476"/>
      </w:tblGrid>
      <w:tr w:rsidR="00951D1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lastRenderedPageBreak/>
              <w:t>Tool</w:t>
            </w:r>
          </w:p>
        </w:tc>
        <w:tc>
          <w:tcPr>
            <w:tcW w:w="205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Initial value</w:t>
            </w:r>
          </w:p>
        </w:tc>
        <w:tc>
          <w:tcPr>
            <w:tcW w:w="34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CFSMonitor</w:t>
            </w:r>
            <w:proofErr w:type="spellEnd"/>
            <w:r>
              <w:rPr>
                <w:sz w:val="21"/>
                <w:szCs w:val="21"/>
              </w:rPr>
              <w:t xml:space="preserve"> (internal lock)</w:t>
            </w:r>
          </w:p>
        </w:tc>
        <w:tc>
          <w:tcPr>
            <w:tcW w:w="205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4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Atomic tree operations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slots</w:t>
            </w:r>
          </w:p>
        </w:tc>
        <w:tc>
          <w:tcPr>
            <w:tcW w:w="205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N</w:t>
            </w:r>
          </w:p>
        </w:tc>
        <w:tc>
          <w:tcPr>
            <w:tcW w:w="34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Bounds queue capacity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ready</w:t>
            </w:r>
          </w:p>
        </w:tc>
        <w:tc>
          <w:tcPr>
            <w:tcW w:w="205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Pr="00697820" w:rsidRDefault="00F00548">
            <w:pPr>
              <w:spacing w:line="276" w:lineRule="auto"/>
              <w:rPr>
                <w:rFonts w:ascii="Microsoft New Tai Lue" w:hAnsi="Microsoft New Tai Lue" w:cs="Microsoft New Tai Lue"/>
              </w:rPr>
            </w:pPr>
            <w:r w:rsidRPr="00697820">
              <w:rPr>
                <w:rFonts w:ascii="Microsoft New Tai Lue" w:hAnsi="Microsoft New Tai Lue" w:cs="Microsoft New Tai Lue"/>
                <w:sz w:val="21"/>
                <w:szCs w:val="21"/>
              </w:rPr>
              <w:t>0</w:t>
            </w:r>
          </w:p>
        </w:tc>
        <w:tc>
          <w:tcPr>
            <w:tcW w:w="34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Counts ready tasks</w:t>
            </w:r>
          </w:p>
        </w:tc>
      </w:tr>
    </w:tbl>
    <w:p w:rsidR="00951D10" w:rsidRDefault="00951D10">
      <w:pPr>
        <w:spacing w:after="140"/>
      </w:pP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Pseudocode</w:t>
      </w:r>
    </w:p>
    <w:p w:rsidR="00951D10" w:rsidRDefault="00F00548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Simplified monitor</w:t>
      </w:r>
    </w:p>
    <w:p w:rsidR="00951D10" w:rsidRDefault="00F00548">
      <w:pPr>
        <w:spacing w:after="140" w:line="312" w:lineRule="auto"/>
        <w:jc w:val="both"/>
      </w:pPr>
      <w:r>
        <w:t>Because waiting on capacity and readiness is handled by the semaphores, the monitor performs only atomic tree work and never blocks: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monitor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CFSMonitor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private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procedure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insert(task):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insert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remove_leftmost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leftmost()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task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procedure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account(task, slice):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+= slice * (BASE_WEIGHT /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task.weight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951D10" w:rsidRDefault="00F00548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Submit and pick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submit(task):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slots)                 // block if the queue is full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CFSMonitor.insert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ready)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ready)                 // block if the queue is empty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CFSMonitor.remove_leftmost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slots)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task</w:t>
      </w:r>
    </w:p>
    <w:p w:rsidR="00951D10" w:rsidRDefault="00F00548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Scheduler main loop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loop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forever: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slice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compute_slice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(task)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run(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task, slice)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CFSMonitor.account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task, slice)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task.not_finished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:</w:t>
      </w:r>
    </w:p>
    <w:p w:rsidR="00951D10" w:rsidRDefault="00F0054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submit(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Algorithm Flowchart</w:t>
      </w:r>
    </w:p>
    <w:p w:rsidR="00951D10" w:rsidRDefault="00F00548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>
            <wp:extent cx="2981325" cy="6096000"/>
            <wp:effectExtent l="0" t="0" r="0" b="0"/>
            <wp:docPr id="1" name="Figure 1" descr="Implementing the Completely Fair Scheduler (CFS) with a Combination of Semaphores and Monitor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10" w:rsidRDefault="00F00548">
      <w:pPr>
        <w:spacing w:after="200" w:line="300" w:lineRule="auto"/>
        <w:jc w:val="center"/>
      </w:pPr>
      <w:r>
        <w:rPr>
          <w:i/>
          <w:iCs/>
          <w:color w:val="55677A"/>
          <w:sz w:val="19"/>
          <w:szCs w:val="19"/>
        </w:rPr>
        <w:t>Orange: semaphore operations; teal: monitor operations; blue: ordinary steps. The semaphores wait outside the monitor, so no thread blocks while holding the monitor lock.</w:t>
      </w: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Comparing the Three Approaches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738"/>
        <w:gridCol w:w="2847"/>
        <w:gridCol w:w="1644"/>
      </w:tblGrid>
      <w:tr w:rsidR="00951D1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Semaphore</w:t>
            </w:r>
          </w:p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Monitor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Hybrid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Tree safety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Depends on the programmer</w:t>
            </w:r>
          </w:p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Automatic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Automatic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Queue capacity control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Needs a condition variable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Yes (semaphore)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Lock hold time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Short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Shortest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Code readability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Medium to high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Flexibility</w:t>
            </w:r>
          </w:p>
        </w:tc>
        <w:tc>
          <w:tcPr>
            <w:tcW w:w="27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9782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Medium</w:t>
            </w:r>
          </w:p>
          <w:p w:rsidR="00951D10" w:rsidRPr="00697820" w:rsidRDefault="00951D10" w:rsidP="00697820"/>
        </w:tc>
        <w:tc>
          <w:tcPr>
            <w:tcW w:w="284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64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</w:tr>
    </w:tbl>
    <w:p w:rsidR="00951D10" w:rsidRDefault="00951D10">
      <w:pPr>
        <w:spacing w:after="140"/>
      </w:pP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Concurrency Problems and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3996"/>
        <w:gridCol w:w="3997"/>
      </w:tblGrid>
      <w:tr w:rsidR="00951D1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4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Cause</w:t>
            </w:r>
          </w:p>
        </w:tc>
        <w:tc>
          <w:tcPr>
            <w:tcW w:w="399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Hybrid solution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Race condition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Concurrent tree access</w:t>
            </w:r>
          </w:p>
        </w:tc>
        <w:tc>
          <w:tcPr>
            <w:tcW w:w="399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Atomic monitor methods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Deadlock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Waiting on a semaphore inside the monitor</w:t>
            </w:r>
          </w:p>
        </w:tc>
        <w:tc>
          <w:tcPr>
            <w:tcW w:w="399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Always wait before entering, signal after leaving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Starvation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Unfair queued waiters</w:t>
            </w:r>
          </w:p>
        </w:tc>
        <w:tc>
          <w:tcPr>
            <w:tcW w:w="399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FIFO queues on the semaphores</w:t>
            </w:r>
          </w:p>
        </w:tc>
      </w:tr>
      <w:tr w:rsidR="00951D1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Queue overflow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Too many tasks submitted</w:t>
            </w:r>
          </w:p>
        </w:tc>
        <w:tc>
          <w:tcPr>
            <w:tcW w:w="399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51D10" w:rsidRDefault="00F00548">
            <w:pPr>
              <w:spacing w:line="276" w:lineRule="auto"/>
            </w:pPr>
            <w:r>
              <w:rPr>
                <w:sz w:val="21"/>
                <w:szCs w:val="21"/>
              </w:rPr>
              <w:t>Semaphore slots limits capacity</w:t>
            </w:r>
          </w:p>
        </w:tc>
      </w:tr>
    </w:tbl>
    <w:p w:rsidR="00951D10" w:rsidRDefault="00951D10">
      <w:pPr>
        <w:spacing w:after="140"/>
      </w:pP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Conclusion</w:t>
      </w:r>
    </w:p>
    <w:p w:rsidR="00951D10" w:rsidRDefault="00F00548">
      <w:pPr>
        <w:spacing w:after="140" w:line="312" w:lineRule="auto"/>
        <w:jc w:val="both"/>
      </w:pPr>
      <w:r>
        <w:t>The hybrid approach covers the producer–consumer pattern naturally: the monitor secures the tree, and the semaphores guarantee coordination and capacity. The price is slightly more design effort and a strict ordering rule for entry; in return the monitor l</w:t>
      </w:r>
      <w:r>
        <w:t>ock is held very briefly and becomes less of a scalability bottleneck.</w:t>
      </w:r>
    </w:p>
    <w:p w:rsidR="00951D10" w:rsidRDefault="00F00548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References</w:t>
      </w:r>
    </w:p>
    <w:p w:rsidR="00951D10" w:rsidRDefault="00F00548">
      <w:pPr>
        <w:pStyle w:val="ListParagraph"/>
        <w:numPr>
          <w:ilvl w:val="0"/>
          <w:numId w:val="4"/>
        </w:numPr>
        <w:spacing w:after="60" w:line="312" w:lineRule="auto"/>
      </w:pPr>
      <w:proofErr w:type="spellStart"/>
      <w:r>
        <w:t>Silberschatz</w:t>
      </w:r>
      <w:proofErr w:type="spellEnd"/>
      <w:r>
        <w:t xml:space="preserve">, Galvin, Gagne. </w:t>
      </w:r>
      <w:r>
        <w:rPr>
          <w:i/>
          <w:iCs/>
        </w:rPr>
        <w:t>Operating System Concepts</w:t>
      </w:r>
      <w:r>
        <w:t>.</w:t>
      </w:r>
    </w:p>
    <w:p w:rsidR="00951D10" w:rsidRDefault="00F00548">
      <w:pPr>
        <w:pStyle w:val="ListParagraph"/>
        <w:numPr>
          <w:ilvl w:val="0"/>
          <w:numId w:val="4"/>
        </w:numPr>
        <w:spacing w:after="60" w:line="312" w:lineRule="auto"/>
      </w:pPr>
      <w:r>
        <w:t xml:space="preserve">Hoare, C.A.R. </w:t>
      </w:r>
      <w:r>
        <w:rPr>
          <w:i/>
          <w:iCs/>
        </w:rPr>
        <w:t>Monitors: An Operating System Structuring Concept</w:t>
      </w:r>
      <w:r>
        <w:t>.</w:t>
      </w:r>
    </w:p>
    <w:p w:rsidR="00951D10" w:rsidRDefault="00F00548">
      <w:pPr>
        <w:pStyle w:val="ListParagraph"/>
        <w:numPr>
          <w:ilvl w:val="0"/>
          <w:numId w:val="4"/>
        </w:numPr>
        <w:spacing w:after="60" w:line="312" w:lineRule="auto"/>
      </w:pPr>
      <w:r>
        <w:t xml:space="preserve">Love, R. </w:t>
      </w:r>
      <w:r>
        <w:rPr>
          <w:i/>
          <w:iCs/>
        </w:rPr>
        <w:t>Linux Kernel Development</w:t>
      </w:r>
      <w:r>
        <w:t>.</w:t>
      </w:r>
      <w:bookmarkStart w:id="0" w:name="_GoBack"/>
      <w:bookmarkEnd w:id="0"/>
    </w:p>
    <w:sectPr w:rsidR="00951D10" w:rsidSect="00697820">
      <w:headerReference w:type="default" r:id="rId8"/>
      <w:footerReference w:type="default" r:id="rId9"/>
      <w:pgSz w:w="11906" w:h="16838"/>
      <w:pgMar w:top="810" w:right="1134" w:bottom="630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548" w:rsidRDefault="00F00548">
      <w:r>
        <w:separator/>
      </w:r>
    </w:p>
  </w:endnote>
  <w:endnote w:type="continuationSeparator" w:id="0">
    <w:p w:rsidR="00F00548" w:rsidRDefault="00F00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D10" w:rsidRPr="00697820" w:rsidRDefault="00F00548">
    <w:pPr>
      <w:jc w:val="center"/>
      <w:rPr>
        <w:rFonts w:ascii="Bahnschrift Light Condensed" w:hAnsi="Bahnschrift Light Condensed"/>
      </w:rPr>
    </w:pPr>
    <w:r w:rsidRPr="00697820">
      <w:rPr>
        <w:rFonts w:ascii="Bahnschrift Light Condensed" w:hAnsi="Bahnschrift Light Condensed"/>
        <w:color w:val="7A8CA0"/>
        <w:sz w:val="18"/>
        <w:szCs w:val="18"/>
      </w:rPr>
      <w:t xml:space="preserve">Page </w:t>
    </w:r>
    <w:r w:rsidRPr="00697820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begin"/>
    </w:r>
    <w:r w:rsidRPr="00697820">
      <w:rPr>
        <w:rFonts w:ascii="Bahnschrift Light Condensed" w:hAnsi="Bahnschrift Light Condensed"/>
        <w:b/>
        <w:bCs/>
        <w:color w:val="1F3A5F"/>
        <w:sz w:val="18"/>
        <w:szCs w:val="18"/>
      </w:rPr>
      <w:instrText>PAGE</w:instrText>
    </w:r>
    <w:r w:rsidR="00697820" w:rsidRPr="00697820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separate"/>
    </w:r>
    <w:r w:rsidR="00697820">
      <w:rPr>
        <w:rFonts w:ascii="Bahnschrift Light Condensed" w:hAnsi="Bahnschrift Light Condensed"/>
        <w:b/>
        <w:bCs/>
        <w:noProof/>
        <w:color w:val="1F3A5F"/>
        <w:sz w:val="18"/>
        <w:szCs w:val="18"/>
      </w:rPr>
      <w:t>4</w:t>
    </w:r>
    <w:r w:rsidRPr="00697820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548" w:rsidRDefault="00F00548">
      <w:r>
        <w:separator/>
      </w:r>
    </w:p>
  </w:footnote>
  <w:footnote w:type="continuationSeparator" w:id="0">
    <w:p w:rsidR="00F00548" w:rsidRDefault="00F00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D10" w:rsidRDefault="00F00548">
    <w:pPr>
      <w:pBdr>
        <w:bottom w:val="single" w:sz="8" w:space="4" w:color="0F9D9A"/>
      </w:pBdr>
    </w:pPr>
    <w:r>
      <w:rPr>
        <w:color w:val="7A8CA0"/>
        <w:sz w:val="17"/>
        <w:szCs w:val="17"/>
      </w:rPr>
      <w:t>Implementing the Completely Fair Scheduler (CFS) with a Combination of Semaphores and Monitors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E3009"/>
    <w:multiLevelType w:val="hybridMultilevel"/>
    <w:tmpl w:val="1ADE3D46"/>
    <w:lvl w:ilvl="0" w:tplc="2576A3B8">
      <w:start w:val="1"/>
      <w:numFmt w:val="bullet"/>
      <w:lvlText w:val="●"/>
      <w:lvlJc w:val="left"/>
      <w:pPr>
        <w:ind w:left="720" w:hanging="360"/>
      </w:pPr>
    </w:lvl>
    <w:lvl w:ilvl="1" w:tplc="3574207E">
      <w:start w:val="1"/>
      <w:numFmt w:val="bullet"/>
      <w:lvlText w:val="○"/>
      <w:lvlJc w:val="left"/>
      <w:pPr>
        <w:ind w:left="1440" w:hanging="360"/>
      </w:pPr>
    </w:lvl>
    <w:lvl w:ilvl="2" w:tplc="D7F2F03A">
      <w:start w:val="1"/>
      <w:numFmt w:val="bullet"/>
      <w:lvlText w:val="■"/>
      <w:lvlJc w:val="left"/>
      <w:pPr>
        <w:ind w:left="2160" w:hanging="360"/>
      </w:pPr>
    </w:lvl>
    <w:lvl w:ilvl="3" w:tplc="A51A837A">
      <w:start w:val="1"/>
      <w:numFmt w:val="bullet"/>
      <w:lvlText w:val="●"/>
      <w:lvlJc w:val="left"/>
      <w:pPr>
        <w:ind w:left="2880" w:hanging="360"/>
      </w:pPr>
    </w:lvl>
    <w:lvl w:ilvl="4" w:tplc="515234E6">
      <w:start w:val="1"/>
      <w:numFmt w:val="bullet"/>
      <w:lvlText w:val="○"/>
      <w:lvlJc w:val="left"/>
      <w:pPr>
        <w:ind w:left="3600" w:hanging="360"/>
      </w:pPr>
    </w:lvl>
    <w:lvl w:ilvl="5" w:tplc="D79AEE66">
      <w:start w:val="1"/>
      <w:numFmt w:val="bullet"/>
      <w:lvlText w:val="■"/>
      <w:lvlJc w:val="left"/>
      <w:pPr>
        <w:ind w:left="4320" w:hanging="360"/>
      </w:pPr>
    </w:lvl>
    <w:lvl w:ilvl="6" w:tplc="6CFA4486">
      <w:start w:val="1"/>
      <w:numFmt w:val="bullet"/>
      <w:lvlText w:val="●"/>
      <w:lvlJc w:val="left"/>
      <w:pPr>
        <w:ind w:left="5040" w:hanging="360"/>
      </w:pPr>
    </w:lvl>
    <w:lvl w:ilvl="7" w:tplc="22404F3C">
      <w:start w:val="1"/>
      <w:numFmt w:val="bullet"/>
      <w:lvlText w:val="●"/>
      <w:lvlJc w:val="left"/>
      <w:pPr>
        <w:ind w:left="5760" w:hanging="360"/>
      </w:pPr>
    </w:lvl>
    <w:lvl w:ilvl="8" w:tplc="FF96CE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CA624C"/>
    <w:multiLevelType w:val="hybridMultilevel"/>
    <w:tmpl w:val="807A3AD2"/>
    <w:lvl w:ilvl="0" w:tplc="1DF4601A">
      <w:start w:val="1"/>
      <w:numFmt w:val="bullet"/>
      <w:lvlText w:val="•"/>
      <w:lvlJc w:val="left"/>
      <w:pPr>
        <w:ind w:left="540" w:hanging="300"/>
      </w:pPr>
      <w:rPr>
        <w:color w:val="0F9D9A"/>
      </w:rPr>
    </w:lvl>
    <w:lvl w:ilvl="1" w:tplc="598470F4">
      <w:numFmt w:val="decimal"/>
      <w:lvlText w:val=""/>
      <w:lvlJc w:val="left"/>
    </w:lvl>
    <w:lvl w:ilvl="2" w:tplc="BD341E80">
      <w:numFmt w:val="decimal"/>
      <w:lvlText w:val=""/>
      <w:lvlJc w:val="left"/>
    </w:lvl>
    <w:lvl w:ilvl="3" w:tplc="5D06363C">
      <w:numFmt w:val="decimal"/>
      <w:lvlText w:val=""/>
      <w:lvlJc w:val="left"/>
    </w:lvl>
    <w:lvl w:ilvl="4" w:tplc="035E6BCE">
      <w:numFmt w:val="decimal"/>
      <w:lvlText w:val=""/>
      <w:lvlJc w:val="left"/>
    </w:lvl>
    <w:lvl w:ilvl="5" w:tplc="3A5C6CB8">
      <w:numFmt w:val="decimal"/>
      <w:lvlText w:val=""/>
      <w:lvlJc w:val="left"/>
    </w:lvl>
    <w:lvl w:ilvl="6" w:tplc="40BC0056">
      <w:numFmt w:val="decimal"/>
      <w:lvlText w:val=""/>
      <w:lvlJc w:val="left"/>
    </w:lvl>
    <w:lvl w:ilvl="7" w:tplc="4608FC94">
      <w:numFmt w:val="decimal"/>
      <w:lvlText w:val=""/>
      <w:lvlJc w:val="left"/>
    </w:lvl>
    <w:lvl w:ilvl="8" w:tplc="856AB5D0">
      <w:numFmt w:val="decimal"/>
      <w:lvlText w:val=""/>
      <w:lvlJc w:val="left"/>
    </w:lvl>
  </w:abstractNum>
  <w:abstractNum w:abstractNumId="2" w15:restartNumberingAfterBreak="0">
    <w:nsid w:val="4BB47EB8"/>
    <w:multiLevelType w:val="hybridMultilevel"/>
    <w:tmpl w:val="68C48694"/>
    <w:lvl w:ilvl="0" w:tplc="6FE4DF3A">
      <w:start w:val="1"/>
      <w:numFmt w:val="decimal"/>
      <w:lvlText w:val="%1."/>
      <w:lvlJc w:val="left"/>
      <w:pPr>
        <w:ind w:left="540" w:hanging="360"/>
      </w:pPr>
      <w:rPr>
        <w:rFonts w:ascii="Microsoft New Tai Lue" w:hAnsi="Microsoft New Tai Lue" w:cs="Microsoft New Tai Lue" w:hint="default"/>
        <w:b/>
        <w:bCs/>
        <w:color w:val="0F9D9A"/>
      </w:rPr>
    </w:lvl>
    <w:lvl w:ilvl="1" w:tplc="71C89104">
      <w:numFmt w:val="decimal"/>
      <w:lvlText w:val=""/>
      <w:lvlJc w:val="left"/>
    </w:lvl>
    <w:lvl w:ilvl="2" w:tplc="E092D346">
      <w:numFmt w:val="decimal"/>
      <w:lvlText w:val=""/>
      <w:lvlJc w:val="left"/>
    </w:lvl>
    <w:lvl w:ilvl="3" w:tplc="AEC685BA">
      <w:numFmt w:val="decimal"/>
      <w:lvlText w:val=""/>
      <w:lvlJc w:val="left"/>
    </w:lvl>
    <w:lvl w:ilvl="4" w:tplc="C59EB9AC">
      <w:numFmt w:val="decimal"/>
      <w:lvlText w:val=""/>
      <w:lvlJc w:val="left"/>
    </w:lvl>
    <w:lvl w:ilvl="5" w:tplc="943675F4">
      <w:numFmt w:val="decimal"/>
      <w:lvlText w:val=""/>
      <w:lvlJc w:val="left"/>
    </w:lvl>
    <w:lvl w:ilvl="6" w:tplc="B29CA590">
      <w:numFmt w:val="decimal"/>
      <w:lvlText w:val=""/>
      <w:lvlJc w:val="left"/>
    </w:lvl>
    <w:lvl w:ilvl="7" w:tplc="17E6493C">
      <w:numFmt w:val="decimal"/>
      <w:lvlText w:val=""/>
      <w:lvlJc w:val="left"/>
    </w:lvl>
    <w:lvl w:ilvl="8" w:tplc="D206BA4E">
      <w:numFmt w:val="decimal"/>
      <w:lvlText w:val=""/>
      <w:lvlJc w:val="left"/>
    </w:lvl>
  </w:abstractNum>
  <w:abstractNum w:abstractNumId="3" w15:restartNumberingAfterBreak="0">
    <w:nsid w:val="69291A1E"/>
    <w:multiLevelType w:val="hybridMultilevel"/>
    <w:tmpl w:val="3DFC56FE"/>
    <w:lvl w:ilvl="0" w:tplc="E32476DC">
      <w:start w:val="1"/>
      <w:numFmt w:val="decimal"/>
      <w:lvlText w:val="%1."/>
      <w:lvlJc w:val="left"/>
      <w:pPr>
        <w:ind w:left="540" w:hanging="360"/>
      </w:pPr>
      <w:rPr>
        <w:rFonts w:ascii="Microsoft New Tai Lue" w:hAnsi="Microsoft New Tai Lue" w:cs="Microsoft New Tai Lue" w:hint="default"/>
        <w:b/>
        <w:bCs/>
        <w:color w:val="0F9D9A"/>
      </w:rPr>
    </w:lvl>
    <w:lvl w:ilvl="1" w:tplc="2ABE11F8">
      <w:numFmt w:val="decimal"/>
      <w:lvlText w:val=""/>
      <w:lvlJc w:val="left"/>
    </w:lvl>
    <w:lvl w:ilvl="2" w:tplc="DE3AFCD6">
      <w:numFmt w:val="decimal"/>
      <w:lvlText w:val=""/>
      <w:lvlJc w:val="left"/>
    </w:lvl>
    <w:lvl w:ilvl="3" w:tplc="4344071C">
      <w:numFmt w:val="decimal"/>
      <w:lvlText w:val=""/>
      <w:lvlJc w:val="left"/>
    </w:lvl>
    <w:lvl w:ilvl="4" w:tplc="32182D6A">
      <w:numFmt w:val="decimal"/>
      <w:lvlText w:val=""/>
      <w:lvlJc w:val="left"/>
    </w:lvl>
    <w:lvl w:ilvl="5" w:tplc="B100D29A">
      <w:numFmt w:val="decimal"/>
      <w:lvlText w:val=""/>
      <w:lvlJc w:val="left"/>
    </w:lvl>
    <w:lvl w:ilvl="6" w:tplc="DEB8CB5C">
      <w:numFmt w:val="decimal"/>
      <w:lvlText w:val=""/>
      <w:lvlJc w:val="left"/>
    </w:lvl>
    <w:lvl w:ilvl="7" w:tplc="1294218C">
      <w:numFmt w:val="decimal"/>
      <w:lvlText w:val=""/>
      <w:lvlJc w:val="left"/>
    </w:lvl>
    <w:lvl w:ilvl="8" w:tplc="64F0BE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D10"/>
    <w:rsid w:val="00697820"/>
    <w:rsid w:val="00951D10"/>
    <w:rsid w:val="00F0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ABA528-FA89-4320-935B-55D99232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78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820"/>
  </w:style>
  <w:style w:type="paragraph" w:styleId="Footer">
    <w:name w:val="footer"/>
    <w:basedOn w:val="Normal"/>
    <w:link w:val="FooterChar"/>
    <w:uiPriority w:val="99"/>
    <w:unhideWhenUsed/>
    <w:rsid w:val="006978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the Completely Fair Scheduler (CFS) with a Combination of Semaphores and Monitors</dc:title>
  <dc:creator>Claude</dc:creator>
  <cp:lastModifiedBy>Mohammad Reza Azodi</cp:lastModifiedBy>
  <cp:revision>2</cp:revision>
  <dcterms:created xsi:type="dcterms:W3CDTF">2026-10-29T07:28:00Z</dcterms:created>
  <dcterms:modified xsi:type="dcterms:W3CDTF">2026-10-29T08:01:00Z</dcterms:modified>
</cp:coreProperties>
</file>