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b/>
          <w:bCs/>
        </w:rPr>
        <w:t>OpusEdge: Telemetry-Guided Dynamic Compute Allocation</w:t>
      </w:r>
      <w:r>
        <w:rPr/>
        <w:br/>
      </w:r>
      <w:r>
        <w:rPr>
          <w:b/>
          <w:bCs/>
        </w:rPr>
        <w:t>for Dense, Mixture-of-Experts, and Hybrid SSM-Attention Architectures</w:t>
      </w:r>
    </w:p>
    <w:p>
      <w:pPr>
        <w:pStyle w:val="Author"/>
        <w:rPr/>
      </w:pPr>
      <w:r>
        <w:rPr/>
        <w:t>Irfan Mahir</w:t>
      </w:r>
      <w:r>
        <w:rPr>
          <w:rStyle w:val="FootnoteReference"/>
        </w:rPr>
        <w:footnoteReference w:id="2"/>
      </w:r>
      <w:r>
        <w:rPr/>
        <w:br/>
        <w:t>Furylogic Labs / Independent Researcher, Bangladesh</w:t>
        <w:br/>
      </w:r>
      <w:r>
        <w:rPr>
          <w:i/>
          <w:iCs/>
        </w:rPr>
        <w:t>Research conducted under the Infernix Inference Engine Project</w:t>
      </w:r>
    </w:p>
    <w:p>
      <w:pPr>
        <w:pStyle w:val="Date"/>
        <w:rPr/>
      </w:pPr>
      <w:r>
        <w:rPr/>
        <w:t>June 2026</w:t>
      </w:r>
    </w:p>
    <w:p>
      <w:pPr>
        <w:pStyle w:val="AbstractTitle"/>
        <w:rPr/>
      </w:pPr>
      <w:r>
        <w:rPr/>
        <w:t>Abstract</w:t>
      </w:r>
    </w:p>
    <w:p>
      <w:pPr>
        <w:pStyle w:val="Abstract"/>
        <w:rPr/>
      </w:pPr>
      <w:r>
        <w:rPr/>
        <w:t xml:space="preserve">Deploying large language models on resource-constrained hardware remains impractical due to the quadratic cost of attention and the memory demands of key-value (KV) caches, yet existing optimization pipelines treat dense, hybrid SSM-attention, and sparse mixture-of-experts (MoE) architectures as disjoint problems requiring separate solutions. We present </w:t>
      </w:r>
      <w:r>
        <w:rPr>
          <w:b/>
          <w:bCs/>
        </w:rPr>
        <w:t>OpusEdge</w:t>
      </w:r>
      <w:r>
        <w:rPr/>
        <w:t xml:space="preserve">, a unified telemetry-guided framework that exploits per-token importance signals—the native SSM selectivity parameter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(O(1) cost in hybrid models), the RMS hidden-state drift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(O(L) cost in dense models), and the Router-Gated Importance Signal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 xml:space="preserve"> (MoE models)—to orchestrate ten composable inference primitives and four novel architectural stabilizers across all three architecture families without any gradient retraining. Empirically, SelKV achieves a 100.5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quality advantage over random eviction at 87.5% KV cache compression on Falcon-H1-0.5B; DenseEvic achieves 13.7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on Qwen2.5-0.5B via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; SMSA yields 3.56–4.98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measured attention speedup at 2,048 tokens;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StateCompress delivers 37.5% hidden-state compression with near-zero perplexity degradation, while the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and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signals achieve mean Spearman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0.5232</m:t>
        </m:r>
      </m:oMath>
      <w:r>
        <w:rPr/>
        <w:t xml:space="preserve">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0.3346</m:t>
        </m:r>
      </m:oMath>
      <w:r>
        <w:rPr/>
        <w:t xml:space="preserve"> correlation with token importance across 24 diverse tasks. All experiments are reproducible on a single NVIDIA RTX 4060 (8 GB VRAM) using publicly available models; code is available at the Infernix Engine repository.</w:t>
      </w:r>
    </w:p>
    <w:p>
      <w:pPr>
        <w:pStyle w:val="FirstParagraph"/>
        <w:rPr/>
      </w:pPr>
      <w:r>
        <w:rPr>
          <w:b/>
          <w:bCs/>
        </w:rPr>
        <w:t>Keywords:</w:t>
      </w:r>
      <w:r>
        <w:rPr/>
        <w:t xml:space="preserve"> State Space Models, KV Cache Compression, Dense Transformers, Hybrid Architectures, Mixture of Experts, Efficient Inference, Attention Routing, Dynamic Rank, Delta-AR, SelKV, Dynamic Compute Allocation.</w:t>
      </w:r>
    </w:p>
    <w:p>
      <w:pPr>
        <w:pStyle w:val="Heading1"/>
        <w:rPr/>
      </w:pPr>
      <w:bookmarkStart w:id="0" w:name="sec%3Aintro"/>
      <w:r>
        <w:rPr/>
        <w:t>Introduction</w:t>
      </w:r>
    </w:p>
    <w:p>
      <w:pPr>
        <w:pStyle w:val="FirstParagraph"/>
        <w:rPr/>
      </w:pPr>
      <w:r>
        <w:rPr/>
        <w:t>Large language models have demonstrated strong capabilities across reasoning, code generation, and instruction following, yet deploying them on consumer or mobile hardware remains challenging. The quadratic cost of self-attention and the linear memory growth of KV caches impose hard constraints that existing approaches address only partially and in isolation.</w:t>
      </w:r>
    </w:p>
    <w:p>
      <w:pPr>
        <w:pStyle w:val="BodyText"/>
        <w:rPr/>
      </w:pPr>
      <w:r>
        <w:rPr/>
        <w:t xml:space="preserve">The inference ecosystem has fragmented into three competing paradigms: pure </w:t>
      </w:r>
      <w:r>
        <w:rPr>
          <w:i/>
          <w:iCs/>
        </w:rPr>
        <w:t>dense</w:t>
      </w:r>
      <w:r>
        <w:rPr/>
        <w:t xml:space="preserve"> transformers (Qwen2.5 , LLaMA-3 ), which achieve high fidelity at O(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) memory and compute; </w:t>
      </w:r>
      <w:r>
        <w:rPr>
          <w:i/>
          <w:iCs/>
        </w:rPr>
        <w:t>hybrid</w:t>
      </w:r>
      <w:r>
        <w:rPr/>
        <w:t xml:space="preserve"> SSM-attention models (Falcon-H1 , Jamba ), which amortize long-range dependencies through bounded state spaces; and </w:t>
      </w:r>
      <w:r>
        <w:rPr>
          <w:i/>
          <w:iCs/>
        </w:rPr>
        <w:t>sparse MoE</w:t>
      </w:r>
      <w:r>
        <w:rPr/>
        <w:t xml:space="preserve"> models (Mixtral , OLMoE ), which activate only a subset of parameters per token. Existing optimizations—H2O , SAGE-KV , Ada-KV , vLLM —treat these paradigms as disjoint and require separate pipelines for each.</w:t>
      </w:r>
    </w:p>
    <w:p>
      <w:pPr>
        <w:pStyle w:val="BodyText"/>
        <w:rPr/>
      </w:pPr>
      <w:r>
        <w:rPr/>
        <w:t xml:space="preserve">We reject this fragmentation. The central observation of this work is that all three architecture families emit </w:t>
      </w:r>
      <w:r>
        <w:rPr>
          <w:i/>
          <w:iCs/>
        </w:rPr>
        <w:t>cheap per-token diagnostic signals</w:t>
      </w:r>
      <w:r>
        <w:rPr/>
        <w:t xml:space="preserve"> that carry meaningful information about token importance. In hybrid models the SSM forward pass produces the selectivity parameter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at zero extra cost; in dense models a normalized hidden-state drift serves as a computationally analogous proxy; and in MoE models the router softmax logits reveal expert-selection confidence. By harvesting and unifying these signals, OpusEdge orchestrates compute across memory, routing, and conditional computation without modifying model weights.</w:t>
      </w:r>
    </w:p>
    <w:p>
      <w:pPr>
        <w:pStyle w:val="Heading2"/>
        <w:rPr/>
      </w:pPr>
      <w:bookmarkStart w:id="1" w:name="contributions"/>
      <w:r>
        <w:rPr/>
        <w:t>Contributions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Unified signal framework.</w:t>
      </w:r>
      <w:r>
        <w:rPr/>
        <w:t xml:space="preserve"> We formalize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,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, and Router-Gated Importance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 xml:space="preserve"> as a unified token importance hierarchy applicable across all three architecture families, and empirically validate their correlation with attention importance (mean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0.5232</m:t>
        </m:r>
      </m:oMath>
      <w:r>
        <w:rPr/>
        <w:t xml:space="preserve"> for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0.3346</m:t>
        </m:r>
      </m:oMath>
      <w:r>
        <w:rPr/>
        <w:t xml:space="preserve"> for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across 24 diverse tasks).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Ten composable inference primitives.</w:t>
      </w:r>
      <w:r>
        <w:rPr/>
        <w:t xml:space="preserve"> SelKV, SMSA, Delta-AR,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Rank,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HeadDeactivate,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StateCompress, DenseEvic, Pareto Frontier, MoE Router-Gated Importance, and Gating-Aware KV, each targeting a specific axis of the compute–memory–accuracy trade-off surface and applicable across all three architecture families.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Four novel architectural stabilizers.</w:t>
      </w:r>
      <w:r>
        <w:rPr/>
        <w:t xml:space="preserve"> Manifold-Preserving State Recycling (MPSR), Entropy-Buffered Autoregression (EB-AR), Curvature-Adaptive Spectral Projection with Neural Delta-Phase Alignment (CASP+NDPA), and Contextual Salience Amortization (CSA/IPSS), which prevent information loss and quality degradation under aggressive compute reduction.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Empirical validation on consumer hardware.</w:t>
      </w:r>
      <w:r>
        <w:rPr/>
        <w:t xml:space="preserve"> All experiments run on a single RTX 4060 (8 GB VRAM), establishing a reproducibility baseline for resource-constrained research.</w:t>
      </w:r>
      <w:bookmarkEnd w:id="1"/>
    </w:p>
    <w:p>
      <w:pPr>
        <w:pStyle w:val="Heading2"/>
        <w:rPr/>
      </w:pPr>
      <w:bookmarkStart w:id="2" w:name="sec%3Ampsr"/>
      <w:r>
        <w:rPr/>
        <w:t>Manifold-Preserving State Recycling (MPSR)</w:t>
      </w:r>
    </w:p>
    <w:p>
      <w:pPr>
        <w:pStyle w:val="FirstParagraph"/>
        <w:rPr/>
      </w:pPr>
      <w:r>
        <w:rPr/>
        <w:t>Rather than discarding evicted KV tensors, MPSR treats them as structural energy that must be conserved in the model’s recurrent state. When SelKV evicts a historical Key-Value pair from an attention layer, the tensor is projected via a lightweight linear mapping into a compressed state vector and injected into the subsequent SSM block’s hidden state update: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ϕ</m:t>
          </m:r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 are the continuous-to-discrete SSM transition matrices,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/>
        <w:t xml:space="preserve"> is the current token input,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ϕ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 is a learned projection mapping the dropped attention entropy into the persistent hidden state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. This constructs an infinite-horizon lossy overflow buffer: evicted context is not lost but compressed into the recurrent state.</w:t>
      </w:r>
      <w:bookmarkEnd w:id="2"/>
    </w:p>
    <w:p>
      <w:pPr>
        <w:pStyle w:val="Heading2"/>
        <w:rPr/>
      </w:pPr>
      <w:bookmarkStart w:id="3" w:name="sec%3Aebar"/>
      <w:r>
        <w:rPr/>
        <w:t>Entropy-Buffered Autoregression (EB-AR)</w:t>
      </w:r>
    </w:p>
    <w:p>
      <w:pPr>
        <w:pStyle w:val="FirstParagraph"/>
        <w:rPr/>
      </w:pPr>
      <w:r>
        <w:rPr/>
        <w:t>Instead of static pruning, EB-AR scales computational expenditure dynamically according to the output token probability distribution’s Shannon entropy: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λ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/>
        <w:t xml:space="preserve"> regulates compute sensitivity to model confidence, 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carries forward the entropy buffer from the previous step. When entropy is low (high confidence), compute is reduced; when entropy is high, compute is restored. This eliminates information shock during pruning.</w:t>
      </w:r>
      <w:bookmarkEnd w:id="3"/>
    </w:p>
    <w:p>
      <w:pPr>
        <w:pStyle w:val="Heading2"/>
        <w:rPr/>
      </w:pPr>
      <w:bookmarkStart w:id="4" w:name="sec%3Acasp"/>
      <w:r>
        <w:rPr/>
        <w:t>Curvature-Adaptive Spectral Projection (CASP) and Neural Delta-Phase Alignment (NDPA)</w:t>
      </w:r>
    </w:p>
    <w:p>
      <w:pPr>
        <w:pStyle w:val="FirstParagraph"/>
        <w:rPr/>
      </w:pPr>
      <w:r>
        <w:rPr/>
        <w:t>Dense architectures experience catastrophic perplexity explosions under rigid SVD truncation. CASP replaces hard truncation with a manifold-curvature metric that preserves high-information singular directions: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W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Σ</m:t>
          </m:r>
          <m:sSup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r>
                <w:rPr>
                  <w:rFonts w:ascii="Cambria Math" w:hAnsi="Cambria Math"/>
                </w:rPr>
                <m:t xml:space="preserve">⊤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exp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κ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tr</m:t>
        </m:r>
        <m:r>
          <w:rPr>
            <w:rFonts w:ascii="Cambria Math" w:hAnsi="Cambria Math"/>
          </w:rPr>
          <m:t xml:space="preserve">(</m:t>
        </m:r>
        <m:sSubSup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  <m:sup>
            <m:r>
              <w:rPr>
                <w:rFonts w:ascii="Cambria Math" w:hAnsi="Cambria Math"/>
              </w:rPr>
              <m:t xml:space="preserve">⊤</m:t>
            </m:r>
          </m:sup>
        </m:sSubSup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d</m:t>
        </m:r>
      </m:oMath>
      <w:r>
        <w:rPr/>
        <w:t xml:space="preserve"> is the per-layer local curvature (Frobenius norm of the Jacobian between adjacent hidden states), ensuring that high-information dimensions survive truncation.</w:t>
      </w:r>
    </w:p>
    <w:p>
      <w:pPr>
        <w:pStyle w:val="BodyText"/>
        <w:rPr/>
      </w:pPr>
      <w:r>
        <w:rPr/>
        <w:t>NDPA (Neural Delta-Phase Alignment) resolves the phase mismatch that arises when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weights misalign with frozen attention geometry. A rank-1 cross-attention rectifier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I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u</m:t>
        </m:r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r>
              <w:rPr>
                <w:rFonts w:ascii="Cambria Math" w:hAnsi="Cambria Math"/>
              </w:rPr>
              <m:t xml:space="preserve">⊤</m:t>
            </m:r>
          </m:sup>
        </m:sSup>
      </m:oMath>
      <w:r>
        <w:rPr/>
        <w:t xml:space="preserve"> maps external proxy vectors onto the internal manifold phase: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A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Softmax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Q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⊤</m:t>
                      </m:r>
                    </m:sup>
                  </m:sSup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sub>
                      </m:sSub>
                    </m:e>
                  </m:rad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γ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  <m:r>
                    <w:rPr>
                      <w:rFonts w:ascii="Cambria Math" w:hAnsi="Cambria Math"/>
                    </w:rPr>
                    <m:t xml:space="preserve">o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</m:sub>
              </m:sSub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I</m:t>
                  </m:r>
                </m:sup>
              </m:sSup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This boosts the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Spearman correlation toward native-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levels without any retraining. In practice,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I</m:t>
            </m:r>
          </m:sup>
        </m:sSup>
      </m:oMath>
      <w:r>
        <w:rPr/>
        <w:t xml:space="preserve"> is fit via a single least-squares step at inference time on the current (Proxy-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, attention-score) pair, requiring no stored parameters.</w:t>
      </w:r>
      <w:bookmarkEnd w:id="4"/>
    </w:p>
    <w:p>
      <w:pPr>
        <w:pStyle w:val="Heading2"/>
        <w:rPr/>
      </w:pPr>
      <w:bookmarkStart w:id="5" w:name="sec%3Acsa"/>
      <w:r>
        <w:rPr/>
        <w:t>Contextual Salience Amortization (CSA) / Information-Preserving Salience Smoothing (IPSS)</w:t>
      </w:r>
    </w:p>
    <w:p>
      <w:pPr>
        <w:pStyle w:val="FirstParagraph"/>
        <w:rPr/>
      </w:pPr>
      <w:r>
        <w:rPr/>
        <w:t xml:space="preserve">Binary head deactivation causes catastrophic quality drops. CSA/IPSS defines a continuous salience metric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/>
        <w:t xml:space="preserve"> for each head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 xml:space="preserve">, derived from the running temporal variance of its feature activations. When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 falls below a threshold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</m:oMath>
      <w:r>
        <w:rPr/>
        <w:t xml:space="preserve">, 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)</m:t>
        </m:r>
      </m:oMath>
      <w:r>
        <w:rPr/>
        <w:t xml:space="preserve"> self-attention is replaced by a linear-time fallback: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O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  <m:r>
            <w:rPr>
              <w:rFonts w:ascii="Cambria Math" w:hAnsi="Cambria Math"/>
            </w:rPr>
            <m:t xml:space="preserve">⋅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  <m:sSubSup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⊤</m:t>
                  </m:r>
                </m:sup>
              </m:sSubSup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O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if</m:t>
          </m:r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κ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acc>
              <m:accPr>
                <m:chr m:val="´"/>
              </m:accPr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T</m:t>
            </m:r>
          </m:den>
        </m:f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l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T</m:t>
            </m:r>
          </m:sup>
          <m:e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l</m:t>
                </m:r>
              </m:sub>
            </m:sSub>
          </m:e>
        </m:nary>
      </m:oMath>
      <w:r>
        <w:rPr/>
        <w:t xml:space="preserve"> is the time-averaged historical key vector over the active context window of length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>. Sub-threshold heads continue projecting into the residual stream without incurring quadratic cost, consolidating approximately 56% FLOP reduction while capping perplexity degradation.</w:t>
      </w:r>
    </w:p>
    <w:p>
      <w:pPr>
        <w:pStyle w:val="BodyText"/>
        <w:rPr/>
      </w:pPr>
      <w:r>
        <w:rPr/>
        <w:t>The amortized full-sequence attention output is: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n</m:t>
              </m:r>
            </m:e>
          </m:acc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≈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T</m:t>
              </m:r>
            </m:sup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)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sSup>
                <m:e>
                  <m:acc>
                    <m:accPr>
                      <m:chr m:val="´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 xml:space="preserve">⊤</m:t>
                  </m:r>
                </m:sup>
              </m:sSup>
            </m:e>
          </m:d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  <w:bookmarkEnd w:id="0"/>
      <w:bookmarkEnd w:id="5"/>
    </w:p>
    <w:p>
      <w:pPr>
        <w:pStyle w:val="Heading1"/>
        <w:rPr/>
      </w:pPr>
      <w:bookmarkStart w:id="6" w:name="sec%3Arelated"/>
      <w:r>
        <w:rPr/>
        <w:t>Related Work</w:t>
      </w:r>
    </w:p>
    <w:p>
      <w:pPr>
        <w:pStyle w:val="Heading4"/>
        <w:rPr/>
      </w:pPr>
      <w:bookmarkStart w:id="7" w:name="kv-cache-eviction."/>
      <w:r>
        <w:rPr/>
        <w:t>KV cache eviction.</w:t>
      </w:r>
    </w:p>
    <w:p>
      <w:pPr>
        <w:pStyle w:val="FirstParagraph"/>
        <w:rPr/>
      </w:pPr>
      <w:r>
        <w:rPr/>
        <w:t>Heavy-Hitter Oracle (H2O)  identifies attention sinks and heavy-hitter tokens to guide eviction. SAGE-KV  adds frequency and recency scoring. Ada-KV  introduces per-layer adaptive budgets. All of these compute token importance from attention scores at O(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)–O(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) cost per decision, redundantly reconstructing information that hybrid models already produce for free via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.</w:t>
      </w:r>
      <w:bookmarkEnd w:id="7"/>
    </w:p>
    <w:p>
      <w:pPr>
        <w:pStyle w:val="Heading4"/>
        <w:rPr/>
      </w:pPr>
      <w:bookmarkStart w:id="8" w:name="hybrid-ssm-attention."/>
      <w:r>
        <w:rPr/>
        <w:t>Hybrid SSM-attention.</w:t>
      </w:r>
    </w:p>
    <w:p>
      <w:pPr>
        <w:pStyle w:val="FirstParagraph"/>
        <w:rPr/>
      </w:pPr>
      <w:r>
        <w:rPr/>
        <w:t>Mamba  introduced selective SSMs with input-dependent gating. Mamba-2  proved the State Space Duality (SSD) theorem, establishing that the SSM recurrence has an equivalent masked-matrix form structurally identical to causal attention with exponential decay. Jamba  employs a 1:7 attention-to-Mamba ratio; Falcon-H1  uses a 1:1 parallel design.</w:t>
      </w:r>
      <w:bookmarkEnd w:id="8"/>
    </w:p>
    <w:p>
      <w:pPr>
        <w:pStyle w:val="Heading4"/>
        <w:rPr/>
      </w:pPr>
      <w:bookmarkStart w:id="9" w:name="sparse-attention."/>
      <w:r>
        <w:rPr/>
        <w:t>Sparse attention.</w:t>
      </w:r>
    </w:p>
    <w:p>
      <w:pPr>
        <w:pStyle w:val="FirstParagraph"/>
        <w:rPr/>
      </w:pPr>
      <w:r>
        <w:rPr/>
        <w:t xml:space="preserve">Longformer and BigBird apply fixed sparsity patterns without content adaptation. None of the existing sparse-attention works exploit the SSM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signal as a routing oracle.</w:t>
      </w:r>
      <w:bookmarkEnd w:id="9"/>
    </w:p>
    <w:p>
      <w:pPr>
        <w:pStyle w:val="Heading4"/>
        <w:rPr/>
      </w:pPr>
      <w:bookmarkStart w:id="10" w:name="dynamic-inference."/>
      <w:r>
        <w:rPr/>
        <w:t>Dynamic inference.</w:t>
      </w:r>
    </w:p>
    <w:p>
      <w:pPr>
        <w:pStyle w:val="FirstParagraph"/>
        <w:rPr/>
      </w:pPr>
      <w:r>
        <w:rPr/>
        <w:t>Early-exit networks , token merging (ToMe) , and speculative decoding  reduce compute at the sequence or layer level. OpusEdge is complementary: its primitives compose with these methods for further gains.</w:t>
      </w:r>
      <w:bookmarkEnd w:id="10"/>
    </w:p>
    <w:p>
      <w:pPr>
        <w:pStyle w:val="Heading4"/>
        <w:rPr/>
      </w:pPr>
      <w:bookmarkStart w:id="11" w:name="moe."/>
      <w:r>
        <w:rPr/>
        <w:t>MoE.</w:t>
      </w:r>
    </w:p>
    <w:p>
      <w:pPr>
        <w:pStyle w:val="FirstParagraph"/>
        <w:rPr/>
      </w:pPr>
      <w:r>
        <w:rPr/>
        <w:t xml:space="preserve">Mixtral  and OLMoE  route tokens to a subset of experts, producing routing logits that OpusEdge harvests as the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 xml:space="preserve"> importance signal.</w:t>
      </w:r>
      <w:bookmarkEnd w:id="6"/>
      <w:bookmarkEnd w:id="11"/>
    </w:p>
    <w:p>
      <w:pPr>
        <w:pStyle w:val="Heading1"/>
        <w:rPr/>
      </w:pPr>
      <w:bookmarkStart w:id="12" w:name="sec%3Asignals"/>
      <w:r>
        <w:rPr/>
        <w:t>Signal Extraction Framework</w:t>
      </w:r>
    </w:p>
    <w:p>
      <w:pPr>
        <w:pStyle w:val="FirstParagraph"/>
        <w:rPr/>
      </w:pPr>
      <w:r>
        <w:rPr/>
        <w:t>OpusEdge resolves the architecture at load time and activates the appropriate signal extraction mode. All downstream primitives consume the unified signal without model-specific branching.</w:t>
      </w:r>
    </w:p>
    <w:p>
      <w:pPr>
        <w:pStyle w:val="Heading2"/>
        <w:rPr/>
      </w:pPr>
      <w:bookmarkStart w:id="13" w:name="sec%3Anative_delta"/>
      <w:r>
        <w:rPr/>
        <w:t xml:space="preserve">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: Hybrid SSM-Attention (O(1) Zero-Cost)</w:t>
      </w:r>
    </w:p>
    <w:p>
      <w:pPr>
        <w:pStyle w:val="FirstParagraph"/>
        <w:rPr/>
      </w:pPr>
      <w:r>
        <w:rPr/>
        <w:t>In hybrid SSM-attention models (Falcon-H1, Jamba), the SSM block maintains a hidden state that evolves as: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The discrete-time Mamba-2 selective update is: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⊙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 is the per-token selectivity parameter. The information gain from token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is proportional to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∥</m:t>
        </m:r>
        <m:r>
          <w:rPr>
            <w:rFonts w:ascii="Cambria Math" w:hAnsi="Cambria Math"/>
          </w:rPr>
          <m:t xml:space="preserve">B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sSup>
          <m:e>
            <m:r>
              <w:rPr>
                <w:rFonts w:ascii="Cambria Math" w:hAnsi="Cambria Math"/>
              </w:rPr>
              <m:t xml:space="preserve">∥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>, the KL divergence between the posterior and prior SSM states.</w:t>
      </w:r>
    </w:p>
    <w:p>
      <w:pPr>
        <w:pStyle w:val="BodyText"/>
        <w:rPr/>
      </w:pPr>
      <w:r>
        <w:rPr/>
        <w:t>From the SSD framework, the SSM’s mask matrix has entries: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[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j</m:t>
          </m:r>
          <m:r>
            <w:rPr>
              <w:rFonts w:ascii="Cambria Math" w:hAnsi="Cambria Math"/>
            </w:rPr>
            <m:t xml:space="preserve">]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exp</m:t>
          </m:r>
          <m:d>
            <m:dPr>
              <m:begChr m:val="("/>
              <m:endChr m:val=")"/>
            </m:dPr>
            <m:e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i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j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This is structurally identical to a causal attention matrix with exponential decay, proving that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simultaneously predicts (1) token importance for KV eviction, (2) local sequence complexity, and (3) the effective rank requirement for attention computation. Because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is a byproduct of the SSM forward pass, harvesting it costs </w:t>
      </w:r>
      <w:r>
        <w:rPr>
          <w:i/>
          <w:iCs/>
        </w:rPr>
        <w:t>zero additional FLOPs</w:t>
      </w:r>
      <w:r>
        <w:rPr/>
        <w:t>.</w:t>
      </w:r>
      <w:bookmarkEnd w:id="13"/>
    </w:p>
    <w:p>
      <w:pPr>
        <w:pStyle w:val="Heading2"/>
        <w:rPr/>
      </w:pPr>
      <w:bookmarkStart w:id="14" w:name="sec%3Aproxy_delta"/>
      <w:r>
        <w:rPr/>
        <w:t>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: Dense Models (O(L) RMS Drift)</w:t>
      </w:r>
    </w:p>
    <w:p>
      <w:pPr>
        <w:pStyle w:val="FirstParagraph"/>
        <w:rPr/>
      </w:pPr>
      <w:r>
        <w:rPr/>
        <w:t xml:space="preserve">Dense models have no SSM layer, so no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is available. We compute a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as the dimension-normalized RMS drift of hidden states between consecutive layer timesteps: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  <m:sup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)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d>
                    <m:dPr>
                      <m:begChr m:val="‖"/>
                      <m:endChr m:val="‖"/>
                    </m:dPr>
                    <m:e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(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)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(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)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  <m:r>
                        <w:rPr>
                          <w:rFonts w:ascii="Cambria Math" w:hAnsi="Cambria Math"/>
                        </w:rPr>
                        <m:t xml:space="preserve">o</m:t>
                      </m:r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)</m:t>
            </m:r>
          </m:sup>
        </m:sSubSup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ℝ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o</m:t>
                </m:r>
                <m:r>
                  <w:rPr>
                    <w:rFonts w:ascii="Cambria Math" w:hAnsi="Cambria Math"/>
                  </w:rPr>
                  <m:t xml:space="preserve">d</m:t>
                </m:r>
                <m:r>
                  <w:rPr>
                    <w:rFonts w:ascii="Cambria Math" w:hAnsi="Cambria Math"/>
                  </w:rPr>
                  <m:t xml:space="preserve">e</m:t>
                </m:r>
                <m:r>
                  <w:rPr>
                    <w:rFonts w:ascii="Cambria Math" w:hAnsi="Cambria Math"/>
                  </w:rPr>
                  <m:t xml:space="preserve">l</m:t>
                </m:r>
              </m:sub>
            </m:sSub>
          </m:sup>
        </m:sSup>
      </m:oMath>
      <w:r>
        <w:rPr/>
        <w:t xml:space="preserve"> is the hidden state at layer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 and timestep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>. The denominator guarantees scale-independence from the model’s hidden width, preventing numerical overflow in low-precision regimes (float16). Tokens with large RMS drift contribute greater semantic novelty and receive higher importance scores.</w:t>
      </w:r>
    </w:p>
    <w:p>
      <w:pPr>
        <w:pStyle w:val="BodyText"/>
        <w:rPr/>
      </w:pPr>
      <w:r>
        <w:rPr/>
        <w:t>The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computation costs O(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>) per token (one norm per layer), negligible relative to the O(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d</m:t>
        </m:r>
      </m:oMath>
      <w:r>
        <w:rPr/>
        <w:t xml:space="preserve">) attention cost. The Spearman correlation with attention importance reaches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0.3346</m:t>
        </m:r>
      </m:oMath>
      <w:r>
        <w:rPr/>
        <w:t xml:space="preserve"> on dense models, versus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0.5232</m:t>
        </m:r>
      </m:oMath>
      <w:r>
        <w:rPr/>
        <w:t xml:space="preserve"> for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on hybrid models, reflecting the informational advantage of a learned gate over a drift-based proxy (see Table </w:t>
      </w:r>
      <w:hyperlink w:anchor="tab%3Adelta_corr">
        <w:r>
          <w:rPr>
            <w:rStyle w:val="Hyperlink"/>
          </w:rPr>
          <w:t>[tab:delta_corr]</w:t>
        </w:r>
      </w:hyperlink>
      <w:r>
        <w:rPr/>
        <w:t>).</w:t>
      </w:r>
      <w:bookmarkEnd w:id="14"/>
    </w:p>
    <w:p>
      <w:pPr>
        <w:pStyle w:val="Heading2"/>
        <w:rPr/>
      </w:pPr>
      <w:bookmarkStart w:id="15" w:name="sec%3Air"/>
      <w:r>
        <w:rPr/>
        <w:t xml:space="preserve">Router-Gated Importance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>: MoE Models</w:t>
      </w:r>
    </w:p>
    <w:p>
      <w:pPr>
        <w:pStyle w:val="FirstParagraph"/>
        <w:rPr/>
      </w:pPr>
      <w:r>
        <w:rPr/>
        <w:t xml:space="preserve">For sparse MoE architectures, the router softmax outputs encode a token-specific importance signal. Given gating weights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E</m:t>
            </m:r>
          </m:sup>
        </m:sSup>
      </m:oMath>
      <w:r>
        <w:rPr/>
        <w:t xml:space="preserve"> across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/>
        <w:t xml:space="preserve"> experts, we define two complementary formulations: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&amp;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max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min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,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&amp;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E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log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.</m:t>
              </m:r>
            </m:e>
          </m:eqArr>
        </m:oMath>
      </m:oMathPara>
    </w:p>
    <w:p>
      <w:pPr>
        <w:pStyle w:val="FirstParagraph"/>
        <w:rPr/>
      </w:pPr>
      <w:r>
        <w:rPr/>
        <w:t>The max-min form (</w:t>
      </w:r>
      <w:hyperlink w:anchor="eq%3Air_maxmin">
        <w:r>
          <w:rPr>
            <w:rStyle w:val="Hyperlink"/>
          </w:rPr>
          <w:t>[eq:ir_maxmin]</w:t>
        </w:r>
      </w:hyperlink>
      <w:r>
        <w:rPr/>
        <w:t>) is fast and robust; the entropy form (</w:t>
      </w:r>
      <w:hyperlink w:anchor="eq%3Air_entropy">
        <w:r>
          <w:rPr>
            <w:rStyle w:val="Hyperlink"/>
          </w:rPr>
          <w:t>[eq:ir_entropy]</w:t>
        </w:r>
      </w:hyperlink>
      <w:r>
        <w:rPr/>
        <w:t xml:space="preserve">) is theoretically grounded. Tokens routed with high confidence (peaked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</m:oMath>
      <w:r>
        <w:rPr/>
        <w:t xml:space="preserve">, low entropy) are semantically specialized; tokens with uniform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</m:oMath>
      <w:r>
        <w:rPr/>
        <w:t xml:space="preserve"> are generic and safe to deprioritize.</w:t>
      </w:r>
    </w:p>
    <w:p>
      <w:pPr>
        <w:pStyle w:val="BodyText"/>
        <w:rPr/>
      </w:pPr>
      <w:r>
        <w:rPr/>
        <w:t xml:space="preserve">For hybrid-MoE or full-stack scoring,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 xml:space="preserve"> is combined with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via the Gating-Aware KV score (Section </w:t>
      </w:r>
      <w:hyperlink w:anchor="sec%3Agakv">
        <w:r>
          <w:rPr>
            <w:rStyle w:val="Hyperlink"/>
          </w:rPr>
          <w:t>4.10</w:t>
        </w:r>
      </w:hyperlink>
      <w:r>
        <w:rPr/>
        <w:t>).</w:t>
      </w:r>
      <w:bookmarkEnd w:id="15"/>
    </w:p>
    <w:p>
      <w:pPr>
        <w:pStyle w:val="Heading2"/>
        <w:rPr/>
      </w:pPr>
      <w:bookmarkStart w:id="16" w:name="sec%3Asact"/>
      <w:r>
        <w:rPr/>
        <w:t>SSM-Assisted Cache Transmutation (SACT)</w:t>
      </w:r>
    </w:p>
    <w:p>
      <w:pPr>
        <w:pStyle w:val="FirstParagraph"/>
        <w:rPr/>
      </w:pPr>
      <w:r>
        <w:rPr/>
        <w:t xml:space="preserve">SACT prevents context fragmentation by recycling evicted attention representations into the adjacent SSM block. When SelKV evicts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from attention layer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, it is injected into the SSM at layer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via: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  <m:sup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M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⋅</m:t>
          </m:r>
          <m:sSubSup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M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σ</m:t>
              </m:r>
              <m:r>
                <w:rPr>
                  <w:rFonts w:ascii="Cambria Math" w:hAnsi="Cambria Math"/>
                </w:rPr>
                <m:t xml:space="preserve">(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I</m:t>
                  </m:r>
                </m:sup>
              </m:sSup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e</m:t>
                  </m:r>
                  <m:r>
                    <w:rPr>
                      <w:rFonts w:ascii="Cambria Math" w:hAnsi="Cambria Math"/>
                    </w:rPr>
                    <m:t xml:space="preserve">v</m:t>
                  </m:r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r>
              <w:rPr>
                <w:rFonts w:ascii="Cambria Math" w:hAnsi="Cambria Math"/>
              </w:rPr>
              <m:t xml:space="preserve">I</m:t>
            </m:r>
          </m:sup>
        </m:sSup>
      </m:oMath>
      <w:r>
        <w:rPr/>
        <w:t xml:space="preserve"> is a lightweight linear projection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/>
        <w:t xml:space="preserve"> is a nonlinear activation. SACT converts transient attention states into persistent fixed-size recurrent states, constructing an infinite-horizon lossy overflow buffer. This is the runtime instance of MPSR (Eq. (</w:t>
      </w:r>
      <w:hyperlink w:anchor="eq%3Ampsr">
        <w:r>
          <w:rPr>
            <w:rStyle w:val="Hyperlink"/>
          </w:rPr>
          <w:t>[eq:mpsr]</w:t>
        </w:r>
      </w:hyperlink>
      <w:r>
        <w:rPr/>
        <w:t>)).</w:t>
      </w:r>
      <w:bookmarkEnd w:id="16"/>
    </w:p>
    <w:p>
      <w:pPr>
        <w:pStyle w:val="Heading2"/>
        <w:rPr/>
      </w:pPr>
      <w:bookmarkStart w:id="17" w:name="sec%3Aebdar"/>
      <w:r>
        <w:rPr/>
        <w:t>Error-Buffered Delta Autoregression (EB-DAR)</w:t>
      </w:r>
    </w:p>
    <w:p>
      <w:pPr>
        <w:pStyle w:val="FirstParagraph"/>
        <w:rPr/>
      </w:pPr>
      <w:r>
        <w:rPr/>
        <w:t xml:space="preserve">Under 50% attention pruning, delta-rule updates accumulate errors. EB-DAR isolates residual delta information into a temporal </w:t>
      </w:r>
      <w:r>
        <w:rPr>
          <w:i/>
          <w:iCs/>
        </w:rPr>
        <w:t>Delta Error Reservoir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/>
        <w:t>. The masked update and reservoir evolution are: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sSubSup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r</m:t>
                  </m:r>
                  <m:r>
                    <w:rPr>
                      <w:rFonts w:ascii="Cambria Math" w:hAnsi="Cambria Math"/>
                    </w:rPr>
                    <m:t xml:space="preserve">o</m:t>
                  </m:r>
                  <m:r>
                    <w:rPr>
                      <w:rFonts w:ascii="Cambria Math" w:hAnsi="Cambria Math"/>
                    </w:rPr>
                    <m:t xml:space="preserve">u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&amp;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</w:rPr>
                <m:t xml:space="preserve">⊙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β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&amp;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⊙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β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</m:e>
          </m:eqAr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sSup>
          <m:e>
            <m:r>
              <w:rPr>
                <w:rFonts w:ascii="Cambria Math" w:hAnsi="Cambria Math"/>
              </w:rPr>
              <m:t xml:space="preserve">}</m:t>
            </m:r>
          </m:e>
          <m:sup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 xml:space="preserve"> is the attention routing mask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/>
        <w:t xml:space="preserve"> is a momentum decay coefficient. By recycling execution residuals back into the active pipeline at subsequent steps, EB-DAR eliminates information shock at 50% FLOP reduction.</w:t>
      </w:r>
      <w:bookmarkEnd w:id="17"/>
    </w:p>
    <w:p>
      <w:pPr>
        <w:pStyle w:val="Heading2"/>
        <w:rPr/>
      </w:pPr>
      <w:bookmarkStart w:id="18" w:name="sec%3Assr"/>
      <w:r>
        <w:rPr/>
        <w:t>Curvature-Aware Soft Spectral Relaxation (SSR) and Phase Alignment (NDPA)</w:t>
      </w:r>
    </w:p>
    <w:p>
      <w:pPr>
        <w:pStyle w:val="FirstParagraph"/>
        <w:rPr/>
      </w:pPr>
      <w:r>
        <w:rPr/>
        <w:t>SSR prevents the perplexity explosions caused by hard SVD truncation in dense models by applying a continuous, entropy-driven soft thresholding operator: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σ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τ</m:t>
              </m:r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</m:oMath>
      <w:r>
        <w:rPr/>
        <w:t xml:space="preserve"> is an elasticity coefficient inversely proportional to the layer’s local activation entropy,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/>
        <w:t xml:space="preserve"> is the sigmoid function. Singular values above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are preserved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); values below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are smoothly decayed rather than zeroed. NDPA then applies the rank-1 rectifier (Eq. (</w:t>
      </w:r>
      <w:hyperlink w:anchor="eq%3Andpa">
        <w:r>
          <w:rPr>
            <w:rStyle w:val="Hyperlink"/>
          </w:rPr>
          <w:t>[eq:ndpa]</w:t>
        </w:r>
      </w:hyperlink>
      <w:r>
        <w:rPr/>
        <w:t>)) to align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onto the internal attention manifold. Note that SSR (Eq. </w:t>
      </w:r>
      <w:hyperlink w:anchor="eq%3Assr">
        <w:r>
          <w:rPr>
            <w:rStyle w:val="Hyperlink"/>
          </w:rPr>
          <w:t>[eq:ssr]</w:t>
        </w:r>
      </w:hyperlink>
      <w:r>
        <w:rPr/>
        <w:t>) and CASP (Eq. </w:t>
      </w:r>
      <w:hyperlink w:anchor="eq%3Acasp">
        <w:r>
          <w:rPr>
            <w:rStyle w:val="Hyperlink"/>
          </w:rPr>
          <w:t>[eq:casp]</w:t>
        </w:r>
      </w:hyperlink>
      <w:r>
        <w:rPr/>
        <w:t>) form a family: SSR is the concrete inference-time instance used in experiments; CASP is the broader geometric framing.</w:t>
      </w:r>
      <w:bookmarkEnd w:id="18"/>
    </w:p>
    <w:p>
      <w:pPr>
        <w:pStyle w:val="Heading2"/>
        <w:rPr/>
      </w:pPr>
      <w:bookmarkStart w:id="19" w:name="sec%3Aipss"/>
      <w:r>
        <w:rPr/>
        <w:t>Information-Preserving Salience Smoothing (IPSS)</w:t>
      </w:r>
    </w:p>
    <w:p>
      <w:pPr>
        <w:pStyle w:val="FirstParagraph"/>
        <w:rPr/>
      </w:pPr>
      <w:r>
        <w:rPr/>
        <w:t>IPSS is the concrete runtime instance of CSA (Section </w:t>
      </w:r>
      <w:hyperlink w:anchor="sec%3Acsa">
        <w:r>
          <w:rPr>
            <w:rStyle w:val="Hyperlink"/>
          </w:rPr>
          <w:t>1.4</w:t>
        </w:r>
      </w:hyperlink>
      <w:r>
        <w:rPr/>
        <w:t xml:space="preserve">). When head salience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 falls below threshold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</m:oMath>
      <w:r>
        <w:rPr/>
        <w:t>, the quadratic attention is replaced with the linear-time fallback defined in Eq. (</w:t>
      </w:r>
      <w:hyperlink w:anchor="eq%3Aipss">
        <w:r>
          <w:rPr>
            <w:rStyle w:val="Hyperlink"/>
          </w:rPr>
          <w:t>[eq:ipss]</w:t>
        </w:r>
      </w:hyperlink>
      <w:r>
        <w:rPr/>
        <w:t xml:space="preserve">). Head salience is computed as the running temporal variance of feature activations, normalized to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/>
        <w:t>, and updated with an exponential moving average.</w:t>
      </w:r>
      <w:bookmarkEnd w:id="12"/>
      <w:bookmarkEnd w:id="19"/>
    </w:p>
    <w:p>
      <w:pPr>
        <w:pStyle w:val="Heading1"/>
        <w:rPr/>
      </w:pPr>
      <w:bookmarkStart w:id="20" w:name="sec%3Aprimitives"/>
      <w:r>
        <w:rPr/>
        <w:t>The Ten Inference Primitives</w:t>
      </w:r>
    </w:p>
    <w:p>
      <w:pPr>
        <w:pStyle w:val="FirstParagraph"/>
        <w:rPr/>
      </w:pPr>
      <w:r>
        <w:rPr/>
        <w:t>Table </w:t>
      </w:r>
      <w:hyperlink w:anchor="tab%3Ataxonomy">
        <w:r>
          <w:rPr>
            <w:rStyle w:val="Hyperlink"/>
          </w:rPr>
          <w:t>[tab:taxonomy]</w:t>
        </w:r>
      </w:hyperlink>
      <w:r>
        <w:rPr/>
        <w:t xml:space="preserve"> summarizes all ten primitives, their signal sources, and empirical status.</w:t>
      </w:r>
    </w:p>
    <w:p>
      <w:pPr>
        <w:pStyle w:val="Heading2"/>
        <w:rPr/>
      </w:pPr>
      <w:bookmarkStart w:id="21" w:name="sec%3Aselkv"/>
      <w:r>
        <w:rPr/>
        <w:t>SelKV: Zero-Cost KV Cache Eviction</w:t>
      </w:r>
    </w:p>
    <w:p>
      <w:pPr>
        <w:pStyle w:val="FirstParagraph"/>
        <w:rPr/>
      </w:pPr>
      <w:r>
        <w:rPr/>
        <w:t>SelKV evicts tokens from the KV cache by zeroing out their attention scores. Given importance scores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,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, or attention-based), the bottom-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</m:oMath>
      <w:r>
        <w:rPr/>
        <w:t>% of tokens are masked, removing them from the attention computation. The eviction pipeline is: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Run SSM layers first (cheaper). Extract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from each head at zero cost.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Compute token importance: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h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[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]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Append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/>
        <w:t xml:space="preserve"> to the KV cache. If over budget, evict lowest-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entries.</w:t>
      </w:r>
    </w:p>
    <w:p>
      <w:pPr>
        <w:pStyle w:val="Normal"/>
        <w:numPr>
          <w:ilvl w:val="0"/>
          <w:numId w:val="1"/>
        </w:numPr>
        <w:rPr/>
      </w:pPr>
      <w:r>
        <w:rPr/>
        <w:t>Run attention on the pruned cache.</w:t>
      </w:r>
    </w:p>
    <w:p>
      <w:pPr>
        <w:pStyle w:val="FirstParagraph"/>
        <w:rPr/>
      </w:pPr>
      <w:r>
        <w:rPr/>
        <w:t>The 500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cost reduction in eviction decisions (O(1) vs O(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) to O(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) for attention-based methods) is the primary advantage of 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signal. Empirical results are in Section </w:t>
      </w:r>
      <w:hyperlink w:anchor="sec%3Aresults_selkv">
        <w:r>
          <w:rPr>
            <w:rStyle w:val="Hyperlink"/>
          </w:rPr>
          <w:t>8.2</w:t>
        </w:r>
      </w:hyperlink>
      <w:r>
        <w:rPr/>
        <w:t>.</w:t>
      </w:r>
    </w:p>
    <w:p>
      <w:pPr>
        <w:pStyle w:val="BodyText"/>
        <w:rPr/>
      </w:pPr>
      <w:r>
        <w:rPr>
          <w:b/>
          <w:bCs/>
        </w:rPr>
        <w:t>SelKV-2 (Prefetching):</w:t>
      </w:r>
      <w:r>
        <w:rPr/>
        <w:t xml:space="preserve"> Uses SSM state similarity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≈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/>
        <w:t xml:space="preserve"> to predict which cached KV pairs will receive high attention; prefetches top-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entries from slow memory before the attention layers run.</w:t>
      </w:r>
    </w:p>
    <w:p>
      <w:pPr>
        <w:pStyle w:val="BodyText"/>
        <w:rPr/>
      </w:pPr>
      <w:r>
        <w:rPr>
          <w:b/>
          <w:bCs/>
        </w:rPr>
        <w:t>SelKV-3 (Progressive Prefill):</w:t>
      </w:r>
      <w:r>
        <w:rPr/>
        <w:t xml:space="preserve"> For long prompts, runs the O(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) SSM scan first to extract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for all prompt tokens, then computes attention only for top-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important tokens to emit the first output token, with background completion of the full KV cache. At a 32K-token prompt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048</m:t>
        </m:r>
      </m:oMath>
      <w:r>
        <w:rPr/>
        <w:t>, this yields a 256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reduction in time-to-first-token compute.</w:t>
      </w:r>
      <w:bookmarkEnd w:id="21"/>
    </w:p>
    <w:p>
      <w:pPr>
        <w:pStyle w:val="Heading2"/>
        <w:rPr/>
      </w:pPr>
      <w:r>
        <w:rPr/>
        <w:t>SMSA: SSM-Masked Sparse Attention</w:t>
      </w:r>
    </w:p>
    <w:p>
      <w:pPr>
        <w:pStyle w:val="FirstParagraph"/>
        <w:rPr/>
      </w:pPr>
      <w:r>
        <w:rPr/>
        <w:t xml:space="preserve">In parallel hybrid blocks (Falcon-H1), the SSM head already provides implicit long-range coverage via the mask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(Eq. (</w:t>
      </w:r>
      <w:hyperlink w:anchor="eq%3Assd">
        <w:r>
          <w:rPr>
            <w:rStyle w:val="Hyperlink"/>
          </w:rPr>
          <w:t>[eq:ssd]</w:t>
        </w:r>
      </w:hyperlink>
      <w:r>
        <w:rPr/>
        <w:t>)). The attention head then redundantly recomputes these dependencies at O(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) cost. SMSA replaces full attention with an adaptive sliding-window attention of width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w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|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|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When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is large, the SSM’s effective range is short and a wider attention window is needed; when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is small, the SSM covers long-range dependencies and a smaller window suffices. 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256</m:t>
        </m:r>
      </m:oMath>
      <w:r>
        <w:rPr/>
        <w:t xml:space="preserve">, the KV cache stores only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 xml:space="preserve"> entries instead of the full sequence, yielding 96.9% VRAM reduction at 2,048 tokens (see Table </w:t>
      </w:r>
      <w:hyperlink w:anchor="tab%3Asmsa_vram">
        <w:r>
          <w:rPr>
            <w:rStyle w:val="Hyperlink"/>
          </w:rPr>
          <w:t>1</w:t>
        </w:r>
      </w:hyperlink>
      <w:r>
        <w:rPr/>
        <w:t>).</w:t>
      </w:r>
    </w:p>
    <w:p>
      <w:pPr>
        <w:pStyle w:val="TableCaption"/>
        <w:rPr/>
      </w:pPr>
      <w:r>
        <w:rPr/>
        <w:t xml:space="preserve">KV cache memory reduction from SMSA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256</m:t>
        </m:r>
      </m:oMath>
      <w:r>
        <w:rPr/>
        <w:t>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Context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Baseline KV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SMSA KV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Reduction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4.7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50.0%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9.4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75.0%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18.9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87.5%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37.8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93.8%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75.5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96.9%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w:bookmarkStart w:id="22" w:name="sec%3Asmsa"/>
            <w:bookmarkStart w:id="23" w:name="tab%3Asmsa_vram"/>
            <w:bookmarkEnd w:id="22"/>
            <w:bookmarkEnd w:id="23"/>
          </w:p>
        </w:tc>
      </w:tr>
    </w:tbl>
    <w:p>
      <w:pPr>
        <w:pStyle w:val="Heading2"/>
        <w:rPr/>
      </w:pPr>
      <w:r>
        <w:rPr/>
        <w:t xml:space="preserve">Delta-AR: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-Guided Attention Routing</w:t>
      </w:r>
    </w:p>
    <w:p>
      <w:pPr>
        <w:pStyle w:val="FirstParagraph"/>
        <w:rPr/>
      </w:pPr>
      <w:r>
        <w:rPr/>
        <w:t>SelKV evicts after attention computes (wasting FLOPs). SMSA uses a fixed window (ignoring content). Delta-AR introduces pre-computation routing: before the attention computation begins, each query token is routed to attend only to the top-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tokens with highest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in its history: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Run SSM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/>
        <w:t xml:space="preserve"> obtain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per token.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Before attention: for each query, select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p</m:t>
        </m:r>
      </m:oMath>
      <w:r>
        <w:rPr/>
        <w:t>-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j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j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}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 by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values.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Compute attention </w:t>
      </w:r>
      <w:r>
        <w:rPr>
          <w:i/>
          <w:iCs/>
        </w:rPr>
        <w:t>only</w:t>
      </w:r>
      <w:r>
        <w:rPr/>
        <w:t xml:space="preserve"> on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(full softmax never executes on the full sequence).</w:t>
      </w:r>
    </w:p>
    <w:p>
      <w:pPr>
        <w:pStyle w:val="FirstParagraph"/>
        <w:rPr/>
      </w:pPr>
      <w:r>
        <w:rPr/>
        <w:t>Attention FLOPs drop from O(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>) to O(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K</m:t>
        </m:r>
      </m:oMath>
      <w:r>
        <w:rPr/>
        <w:t xml:space="preserve">)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≪</m:t>
        </m:r>
        <m:r>
          <w:rPr>
            <w:rFonts w:ascii="Cambria Math" w:hAnsi="Cambria Math"/>
          </w:rPr>
          <m:t xml:space="preserve">n</m:t>
        </m:r>
      </m:oMath>
      <w:r>
        <w:rPr/>
        <w:t>. No fixed window is imposed—routing adapts to content.</w:t>
      </w:r>
    </w:p>
    <w:p>
      <w:pPr>
        <w:pStyle w:val="BodyText"/>
        <w:rPr/>
      </w:pPr>
      <w:r>
        <w:rPr/>
        <w:t>With EB-DAR (Section </w:t>
      </w:r>
      <w:hyperlink w:anchor="sec%3Aebdar">
        <w:r>
          <w:rPr>
            <w:rStyle w:val="Hyperlink"/>
          </w:rPr>
          <w:t>3.5</w:t>
        </w:r>
      </w:hyperlink>
      <w:r>
        <w:rPr/>
        <w:t xml:space="preserve">), tokens masked from routing contribute their delta residual to the reservoir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/>
        <w:t xml:space="preserve"> rather than being silently dropped, preserving long-range structural dependencies even at 50% FLOP reduction.</w:t>
      </w:r>
    </w:p>
    <w:p>
      <w:pPr>
        <w:pStyle w:val="Heading2"/>
        <w:rPr/>
      </w:pPr>
      <w:bookmarkStart w:id="24" w:name="sec%3Adeltarank"/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Rank: Selectivity-Adaptive Low-Rank Projection</w:t>
      </w:r>
    </w:p>
    <w:p>
      <w:pPr>
        <w:pStyle w:val="FirstParagraph"/>
        <w:rPr/>
      </w:pPr>
      <w:r>
        <w:rPr/>
        <w:t>High-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tokens introduce novel information and require full multi-head expressivity. Low-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tokens operate in a predictable regime where a low-rank approximation of the Q/K/V projections suffices.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Rank dynamically sets the effective rank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of these projections: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min</m:t>
              </m:r>
            </m:sub>
          </m:sSub>
          <m:r>
            <w:rPr>
              <w:rFonts w:ascii="Cambria Math" w:hAnsi="Cambria Math"/>
            </w:rPr>
            <m:t xml:space="preserve">≤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Table </w:t>
      </w:r>
      <w:hyperlink w:anchor="tab%3Adeltarank_tiers">
        <w:r>
          <w:rPr>
            <w:rStyle w:val="Hyperlink"/>
          </w:rPr>
          <w:t>2</w:t>
        </w:r>
      </w:hyperlink>
      <w:r>
        <w:rPr/>
        <w:t xml:space="preserve"> shows the four-tier mapping. FLOP reduction scales quadratically: reducing rank from 128 to 32 yields a 16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reduction in Q/K/V matmul cost. Combined with SSR (Section </w:t>
      </w:r>
      <w:hyperlink w:anchor="sec%3Assr">
        <w:r>
          <w:rPr>
            <w:rStyle w:val="Hyperlink"/>
          </w:rPr>
          <w:t>3.6</w:t>
        </w:r>
      </w:hyperlink>
      <w:r>
        <w:rPr/>
        <w:t>), this avoids the catastrophic quality degradation of hard SVD truncation.</w:t>
      </w:r>
    </w:p>
    <w:p>
      <w:pPr>
        <w:pStyle w:val="TableCaption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 tier mapping. FLOP reduction is relative to full rank-128.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Range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Rank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FLOP Reduction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&lt;</m:t>
                </m:r>
                <m:r>
                  <w:rPr>
                    <w:rFonts w:ascii="Cambria Math" w:hAnsi="Cambria Math"/>
                  </w:rPr>
                  <m:t xml:space="preserve">0.05</m:t>
                </m:r>
              </m:oMath>
            </m:oMathPara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64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0.05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0.20</m:t>
              </m:r>
            </m:oMath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0.20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0.50</m:t>
              </m:r>
            </m:oMath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0.50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1.00</m:t>
              </m:r>
            </m:oMath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(full rank)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1.00</m:t>
                </m:r>
              </m:oMath>
            </m:oMathPara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(full rank)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w:bookmarkStart w:id="25" w:name="tab%3Adeltarank_tiers"/>
            <w:bookmarkEnd w:id="25"/>
          </w:p>
        </w:tc>
      </w:tr>
    </w:tbl>
    <w:p>
      <w:pPr>
        <w:pStyle w:val="BodyText"/>
        <w:rPr/>
      </w:pPr>
      <w:r>
        <w:rPr>
          <w:i/>
          <w:iCs/>
        </w:rPr>
        <w:t>Theoretical soundness.</w:t>
      </w:r>
      <w:r>
        <w:rPr/>
        <w:t xml:space="preserve"> Because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predicts low local entropy in low-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regions (via the SSD mask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), the low-rank approximation error is bounded in exactly those regions where rank reduction is applied.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is therefore not a heuristic but a principled predictor of the local intrinsic dimensionality of the attention weight distribution.</w:t>
      </w:r>
      <w:bookmarkEnd w:id="24"/>
    </w:p>
    <w:p>
      <w:pPr>
        <w:pStyle w:val="Heading2"/>
        <w:rPr/>
      </w:pPr>
      <w:bookmarkStart w:id="26" w:name="sec%3Aheaddeactivate"/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HeadDeactivate: Adaptive Multi-Head Gating</w:t>
      </w:r>
    </w:p>
    <w:p>
      <w:pPr>
        <w:pStyle w:val="FirstParagraph"/>
        <w:rPr/>
      </w:pPr>
      <w:r>
        <w:rPr/>
        <w:t xml:space="preserve">Conventional multi-head self-attention executes all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 xml:space="preserve"> heads uniformly for every token.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HeadDeactivate gates head execution based on per-token informational entropy via the following adaptive mapping: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o</m:t>
                        </m:r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sub>
                    </m:sSub>
                  </m:e>
                  <m:e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if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&lt;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o</m:t>
                        </m:r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sub>
                    </m:sSub>
                  </m:e>
                  <m:e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if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o</m:t>
                        </m:r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≤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&lt;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g</m:t>
                        </m:r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b>
                    </m:sSub>
                  </m:e>
                  <m:e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if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≤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&lt;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g</m:t>
                        </m:r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e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otherwise,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w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d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h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g</m:t>
            </m:r>
            <m:r>
              <w:rPr>
                <w:rFonts w:ascii="Cambria Math" w:hAnsi="Cambria Math"/>
              </w:rPr>
              <m:t xml:space="preserve">h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are tier-specific active head budgets 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θ</m:t>
            </m:r>
          </m:e>
          <m:sub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w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θ</m:t>
            </m:r>
          </m:e>
          <m:sub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d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θ</m:t>
            </m:r>
          </m:e>
          <m:sub>
            <m:r>
              <w:rPr>
                <w:rFonts w:ascii="Cambria Math" w:hAnsi="Cambria Math"/>
              </w:rPr>
              <m:t xml:space="preserve">h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g</m:t>
            </m:r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 are entropy-domain gating thresholds. The mapping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:</m:t>
        </m:r>
        <m:sSub>
          <m:e>
            <m:r>
              <w:rPr>
                <w:rFonts w:ascii="Cambria Math" w:hAnsi="Cambria Math"/>
              </w:rPr>
              <m:t xml:space="preserve">ℝ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</m:sub>
        </m:sSub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w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h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g</m:t>
            </m:r>
            <m:r>
              <w:rPr>
                <w:rFonts w:ascii="Cambria Math" w:hAnsi="Cambria Math"/>
              </w:rPr>
              <m:t xml:space="preserve">h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 is monotonically non-decreasing.</w:t>
      </w:r>
    </w:p>
    <w:p>
      <w:pPr>
        <w:pStyle w:val="BodyText"/>
        <w:rPr/>
      </w:pPr>
      <w:r>
        <w:rPr/>
        <w:t xml:space="preserve">The binary activation mask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h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 is applied element-wise before the Q/K/V linear transformations: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&amp;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∈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o</m:t>
                  </m:r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-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)</m:t>
                  </m:r>
                </m:e>
              </m:d>
              <m:r>
                <w:rPr>
                  <w:rFonts w:ascii="Cambria Math" w:hAnsi="Cambria Math"/>
                </w:rPr>
                <m:t xml:space="preserve">,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&amp;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⊙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:</m:t>
                  </m:r>
                </m:sub>
              </m:sSub>
              <m:r>
                <w:rPr>
                  <w:rFonts w:ascii="Cambria Math" w:hAnsi="Cambria Math"/>
                </w:rPr>
                <m:t xml:space="preserve">.</m:t>
              </m:r>
            </m:e>
          </m:eqArr>
        </m:oMath>
      </m:oMathPara>
    </w:p>
    <w:p>
      <w:pPr>
        <w:pStyle w:val="FirstParagraph"/>
        <w:rPr/>
      </w:pPr>
      <w:r>
        <w:rPr/>
        <w:t xml:space="preserve">Masked heads contribute zero-valued rows to the projection output; the downstream matmul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⋅</m:t>
        </m:r>
        <m:sSup>
          <m:e>
            <m:r>
              <w:rPr>
                <w:rFonts w:ascii="Cambria Math" w:hAnsi="Cambria Math"/>
              </w:rPr>
              <m:t xml:space="preserve">K</m:t>
            </m:r>
          </m:e>
          <m:sup>
            <m:r>
              <w:rPr>
                <w:rFonts w:ascii="Cambria Math" w:hAnsi="Cambria Math"/>
              </w:rPr>
              <m:t xml:space="preserve">⊤</m:t>
            </m:r>
          </m:sup>
        </m:sSup>
      </m:oMath>
      <w:r>
        <w:rPr/>
        <w:t xml:space="preserve"> skips these dimensions, yielding soft compute savings proportional to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per token.</w:t>
      </w:r>
    </w:p>
    <w:p>
      <w:pPr>
        <w:pStyle w:val="BodyText"/>
        <w:rPr/>
      </w:pPr>
      <w:r>
        <w:rPr/>
        <w:t xml:space="preserve">Within the active budget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, heads are ranked by cumulative attention importance observed during the forward pass. The top-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heads (by historical attention weight sum) are retained, analogous to expert selection in MoE but without any learned router.</w:t>
      </w:r>
    </w:p>
    <w:p>
      <w:pPr>
        <w:pStyle w:val="TableCaption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HeadDeactivate four-tier gating model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32</m:t>
        </m:r>
      </m:oMath>
      <w:r>
        <w:rPr/>
        <w:t xml:space="preserve"> heads).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Heads Active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FLOP Reduction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Target Tokens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Low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  <m:r>
                      <w:rPr>
                        <w:rFonts w:ascii="Cambria Math" w:hAnsi="Cambria Math"/>
                      </w:rPr>
                      <m:t xml:space="preserve">o</m:t>
                    </m:r>
                    <m:r>
                      <w:rPr>
                        <w:rFonts w:ascii="Cambria Math" w:hAnsi="Cambria Math"/>
                      </w:rPr>
                      <m:t xml:space="preserve">w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4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4/32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87.5%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Function words, repetitive tokens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Mid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16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16/32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50.0%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Standard context tokens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High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h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g</m:t>
                    </m:r>
                    <m:r>
                      <w:rPr>
                        <w:rFonts w:ascii="Cambria Math" w:hAnsi="Cambria Math"/>
                      </w:rPr>
                      <m:t xml:space="preserve">h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24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24/32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25.0%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Moderate novelty tokens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Critical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32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32/32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Semantic pivots, reasoning anchors</w:t>
            </w:r>
            <w:bookmarkStart w:id="27" w:name="tab%3Aheaddeact"/>
            <w:bookmarkEnd w:id="27"/>
          </w:p>
        </w:tc>
      </w:tr>
    </w:tbl>
    <w:p>
      <w:pPr>
        <w:pStyle w:val="BodyText"/>
        <w:rPr/>
      </w:pPr>
      <w:r>
        <w:rPr/>
        <w:t xml:space="preserve">Unlike MLA , which requires re-architecting projection weight matrices and expensive fine-tuning,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HeadDeactivate enforces dynamic token-level runtime pruning over the existing trained weights at zero retraining cost. Sub-threshold heads use the IPSS linear-time fallback (Eq. (</w:t>
      </w:r>
      <w:hyperlink w:anchor="eq%3Aipss">
        <w:r>
          <w:rPr>
            <w:rStyle w:val="Hyperlink"/>
          </w:rPr>
          <w:t>[eq:ipss]</w:t>
        </w:r>
      </w:hyperlink>
      <w:r>
        <w:rPr/>
        <w:t>)) rather than being zeroed, preventing hard quality cliffs.</w:t>
      </w:r>
      <w:bookmarkEnd w:id="26"/>
    </w:p>
    <w:p>
      <w:pPr>
        <w:pStyle w:val="Heading2"/>
        <w:rPr/>
      </w:pPr>
      <w:bookmarkStart w:id="28" w:name="sec%3Astatecompress"/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StateCompress: Predictive Hidden-State Dimension Compression</w:t>
      </w:r>
    </w:p>
    <w:p>
      <w:pPr>
        <w:pStyle w:val="FirstParagraph"/>
        <w:rPr/>
      </w:pPr>
      <w:r>
        <w:rPr/>
        <w:t xml:space="preserve">In low-entropy regimes 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0</m:t>
        </m:r>
      </m:oMath>
      <w:r>
        <w:rPr/>
        <w:t>, the SSM state update (Eq. (</w:t>
      </w:r>
      <w:hyperlink w:anchor="eq%3Amamba">
        <w:r>
          <w:rPr>
            <w:rStyle w:val="Hyperlink"/>
          </w:rPr>
          <w:t>[eq:mamba]</w:t>
        </w:r>
      </w:hyperlink>
      <w:r>
        <w:rPr/>
        <w:t>)) collapses into a passive exponential decay: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≈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m:rPr>
              <m:lit/>
              <m:nor/>
            </m:rPr>
            <w:rPr>
              <w:rFonts w:ascii="Cambria Math" w:hAnsi="Cambria Math"/>
            </w:rPr>
            <m:t xml:space="preserve">since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0</m:t>
          </m:r>
          <m:r>
            <m:rPr>
              <m:lit/>
              <m:nor/>
            </m:rPr>
            <w:rPr>
              <w:rFonts w:ascii="Cambria Math" w:hAnsi="Cambria Math"/>
            </w:rPr>
            <m:t xml:space="preserve">and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B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Under this boundary condition, high-frequency channels—those with low magnitude or low variance across the sequence—become structurally redundant.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StateCompress exploits this by applying a spatial compression mask: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sSup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′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⊙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{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</m:t>
          </m:r>
          <m:sSup>
            <m:e>
              <m:r>
                <w:rPr>
                  <w:rFonts w:ascii="Cambria Math" w:hAnsi="Cambria Math"/>
                </w:rPr>
                <m:t xml:space="preserve">}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s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is constructed by retaining the top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⌈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e</m:t>
            </m:r>
          </m:sub>
        </m:sSub>
        <m:r>
          <w:rPr>
            <w:rFonts w:ascii="Cambria Math" w:hAnsi="Cambria Math"/>
          </w:rPr>
          <m:t xml:space="preserve">⋅</m:t>
        </m:r>
        <m:sSub>
          <m:e>
            <m:r>
              <w:rPr>
                <w:rFonts w:ascii="Cambria Math" w:hAnsi="Cambria Math"/>
              </w:rPr>
              <m:t xml:space="preserve">γ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⌉</m:t>
        </m:r>
      </m:oMath>
      <w:r>
        <w:rPr/>
        <w:t xml:space="preserve"> channels (ranked by absolute magnitude, variance, or random selection) and zeroing the remainder.</w:t>
      </w:r>
    </w:p>
    <w:p>
      <w:pPr>
        <w:pStyle w:val="BodyText"/>
        <w:rPr/>
      </w:pPr>
      <w:r>
        <w:rPr/>
        <w:t xml:space="preserve">The keep-ratio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γ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is a monotonically non-decreasing function of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min</m:t>
                        </m:r>
                      </m:sub>
                    </m:sSub>
                  </m:e>
                  <m:e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if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&lt;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  <m:r>
                          <w:rPr>
                            <w:rFonts w:ascii="Cambria Math" w:hAnsi="Cambria Math"/>
                          </w:rPr>
                          <m:t xml:space="preserve">o</m:t>
                        </m:r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min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)</m:t>
                    </m:r>
                    <m:r>
                      <w:rPr>
                        <w:rFonts w:ascii="Cambria Math" w:hAnsi="Cambria Math"/>
                      </w:rPr>
                      <m:t xml:space="preserve">⋅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o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e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f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o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e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otherwise,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γ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1.0</m:t>
        </m:r>
      </m:oMath>
      <w:r>
        <w:rPr/>
        <w:t xml:space="preserve"> (no compression),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γ</m:t>
            </m:r>
          </m:e>
          <m:sub>
            <m:r>
              <w:rPr>
                <w:rFonts w:ascii="Cambria Math" w:hAnsi="Cambria Math"/>
              </w:rPr>
              <m:t xml:space="preserve">min</m:t>
            </m:r>
          </m:sub>
        </m:sSub>
      </m:oMath>
      <w:r>
        <w:rPr/>
        <w:t xml:space="preserve"> is the minimum keep-ratio (maximum compression), 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τ</m:t>
            </m:r>
          </m:e>
          <m:sub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s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τ</m:t>
            </m:r>
          </m:e>
          <m:sub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/>
        <w:t xml:space="preserve"> are the activation and saturation thresholds.</w:t>
      </w:r>
    </w:p>
    <w:p>
      <w:pPr>
        <w:pStyle w:val="TableCaption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StateCompress compression tiers. Savings apply only to tokens with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τ</m:t>
            </m:r>
          </m:e>
          <m:sub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/>
        <w:t>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γ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(Keep Ratio)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 Zeroed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State Memory Savings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Est. PPL Impact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Conservative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0.75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≈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25% on low-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tokens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0.1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PPL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Standard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≈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50% on low-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tokens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0.5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PPL (est.)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Aggressive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≈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75% on low-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tokens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task-dependent</w:t>
            </w:r>
            <w:bookmarkStart w:id="29" w:name="tab%3Astatecompress"/>
            <w:bookmarkEnd w:id="29"/>
          </w:p>
        </w:tc>
      </w:tr>
    </w:tbl>
    <w:p>
      <w:pPr>
        <w:pStyle w:val="BodyText"/>
        <w:rPr/>
      </w:pPr>
      <w:r>
        <w:rPr/>
        <w:t xml:space="preserve">Zeroed channels also enable </w:t>
      </w:r>
      <w:r>
        <w:rPr>
          <w:i/>
          <w:iCs/>
        </w:rPr>
        <w:t>bit-toggle mitigation</w:t>
      </w:r>
      <w:r>
        <w:rPr/>
        <w:t xml:space="preserve">: SRAM cells storing zero-valued channels do not toggle during cross-layer processing, reducing dynamic power consumption on mobile hardware. This makes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StateCompress particularly attractive for silicon co-design targeting thermal envelopes.</w:t>
      </w:r>
      <w:bookmarkEnd w:id="28"/>
    </w:p>
    <w:p>
      <w:pPr>
        <w:pStyle w:val="Heading2"/>
        <w:rPr/>
      </w:pPr>
      <w:bookmarkStart w:id="30" w:name="sec%3Adenseevic"/>
      <w:r>
        <w:rPr/>
        <w:t>DenseEvic: Cross-Architecture KV Eviction Baseline</w:t>
      </w:r>
    </w:p>
    <w:p>
      <w:pPr>
        <w:pStyle w:val="FirstParagraph"/>
        <w:rPr/>
      </w:pPr>
      <w:r>
        <w:rPr/>
        <w:t>DenseEvic is the dense-architecture counterpart to SelKV. It accumulates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scores in a persistent runtime register and triggers eviction when the KV cache exceeds the VRAM budget. The cache is partitioned into: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Protected Boundary</w:t>
      </w:r>
      <w:r>
        <w:rPr/>
        <w:t xml:space="preserve">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>): Initial context tokens (system prompt) and a rolling window of recent tokens to guarantee fluency.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Eviction Candidate Pool</w:t>
      </w:r>
      <w:r>
        <w:rPr/>
        <w:t xml:space="preserve">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>): Historical tokens eligible for pruning.</w:t>
      </w:r>
    </w:p>
    <w:p>
      <w:pPr>
        <w:pStyle w:val="FirstParagraph"/>
        <w:rPr/>
      </w:pPr>
      <w:r>
        <w:rPr/>
        <w:t xml:space="preserve">Token importance is aggregated across layers with a depth-weighting coefficient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/>
        <w:t xml:space="preserve"> that prioritizes deeper semantic layers: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L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⋅</m:t>
          </m:r>
          <m:sSubSup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  <m:sup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)</m:t>
              </m:r>
            </m:sup>
          </m:sSub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The retained set satisfies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 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</m:oMath>
      <w:r>
        <w:rPr/>
        <w:t xml:space="preserve"> is the target compression ratio.</w:t>
      </w:r>
      <w:bookmarkEnd w:id="30"/>
    </w:p>
    <w:p>
      <w:pPr>
        <w:pStyle w:val="Heading2"/>
        <w:rPr/>
      </w:pPr>
      <w:bookmarkStart w:id="31" w:name="sec%3Apareto"/>
      <w:r>
        <w:rPr/>
        <w:t>Pareto Frontier: Multi-Objective Inference Optimization</w:t>
      </w:r>
    </w:p>
    <w:p>
      <w:pPr>
        <w:pStyle w:val="FirstParagraph"/>
        <w:rPr/>
      </w:pPr>
      <w:r>
        <w:rPr/>
        <w:t>In constrained deployment, compute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>), memory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>), and quality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</m:oMath>
      <w:r>
        <w:rPr/>
        <w:t>, measured via inverse PPL) form a conflicting triad. OpusEdge formalizes the configuration space as a multi-objective problem: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limLow>
            <m:e>
              <m:r>
                <w:rPr>
                  <w:rFonts w:ascii="Cambria Math" w:hAnsi="Cambria Math"/>
                </w:rPr>
                <m:t xml:space="preserve">min</m:t>
              </m:r>
            </m:e>
            <m:lim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Π</m:t>
              </m:r>
            </m:lim>
          </m:limLow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</m:oMath>
      <w:r>
        <w:rPr/>
        <w:t xml:space="preserve"> is the discrete space of primitive configurations. The budget-feasible set is: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{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Π</m:t>
          </m:r>
          <m:d>
            <m:dPr>
              <m:begChr m:val="|"/>
              <m:endChr m:val="}"/>
            </m:dPr>
            <m:e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[</m:t>
              </m:r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]</m:t>
              </m:r>
              <m:r>
                <w:rPr>
                  <w:rFonts w:ascii="Cambria Math" w:hAnsi="Cambria Math"/>
                </w:rPr>
                <m:t xml:space="preserve">≤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The Pareto Frontier acts as the system control layer, guiding the remaining primitives to the optimal operating point for any given task.</w:t>
      </w:r>
      <w:bookmarkEnd w:id="31"/>
    </w:p>
    <w:p>
      <w:pPr>
        <w:pStyle w:val="Heading2"/>
        <w:rPr/>
      </w:pPr>
      <w:bookmarkStart w:id="32" w:name="sec%3Amoe_gate"/>
      <w:r>
        <w:rPr/>
        <w:t>MoE Router-Gated Importance</w:t>
      </w:r>
    </w:p>
    <w:p>
      <w:pPr>
        <w:pStyle w:val="FirstParagraph"/>
        <w:rPr/>
      </w:pPr>
      <w:r>
        <w:rPr/>
        <w:t>For MoE architectures, the Router-Gated Importance signal uses the entropy form (Eq. (</w:t>
      </w:r>
      <w:hyperlink w:anchor="eq%3Air_entropy">
        <w:r>
          <w:rPr>
            <w:rStyle w:val="Hyperlink"/>
          </w:rPr>
          <w:t>[eq:ir_entropy]</w:t>
        </w:r>
      </w:hyperlink>
      <w:r>
        <w:rPr/>
        <w:t>)) as a dynamic scaling factor for the attention sparsification budget: high-entropy tokens receive full-rank attention; low-entropy tokens undergo aggressive rank reduction. This is combined with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for composite scoring: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L</m:t>
                  </m:r>
                </m:den>
              </m:f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max</m:t>
                  </m:r>
                </m:e>
              </m:nary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⋅</m:t>
          </m:r>
          <m:sSub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are the softmax gating weights for token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at layer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>.</w:t>
      </w:r>
      <w:bookmarkEnd w:id="32"/>
    </w:p>
    <w:p>
      <w:pPr>
        <w:pStyle w:val="Heading2"/>
        <w:rPr/>
      </w:pPr>
      <w:bookmarkStart w:id="33" w:name="sec%3Agakv"/>
      <w:r>
        <w:rPr/>
        <w:t>Gating-Aware KV Eviction (GAKV / Semantic Cache)</w:t>
      </w:r>
    </w:p>
    <w:p>
      <w:pPr>
        <w:pStyle w:val="FirstParagraph"/>
        <w:rPr/>
      </w:pPr>
      <w:r>
        <w:rPr/>
        <w:t xml:space="preserve">GAKV integrates SSM state gates and MoE router confidence into a composite retention score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 for token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e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⋅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L</m:t>
              </m:r>
            </m:sub>
            <m:sup/>
            <m:e>
              <m:r>
                <w:rPr>
                  <w:rFonts w:ascii="Cambria Math" w:hAnsi="Cambria Math"/>
                </w:rPr>
                <m:t xml:space="preserve">σ</m:t>
              </m:r>
            </m:e>
          </m:nary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are weighting scalars (default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0.8</m:t>
        </m:r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0.2</m:t>
        </m:r>
      </m:oMath>
      <w:r>
        <w:rPr/>
        <w:t>). A token is evicted when: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⇔</m:t>
          </m:r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sSub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This turns the KV cache into a </w:t>
      </w:r>
      <w:r>
        <w:rPr>
          <w:i/>
          <w:iCs/>
        </w:rPr>
        <w:t>Semantic Cache</w:t>
      </w:r>
      <w:r>
        <w:rPr/>
        <w:t>: tokens that neither cause significant SSM state changes nor influence expert routing are deprioritized, while structurally important tokens are preserved.</w:t>
      </w:r>
      <w:bookmarkEnd w:id="20"/>
      <w:bookmarkEnd w:id="33"/>
    </w:p>
    <w:p>
      <w:pPr>
        <w:pStyle w:val="Heading1"/>
        <w:rPr/>
      </w:pPr>
      <w:bookmarkStart w:id="34" w:name="sec%3Acal"/>
      <w:r>
        <w:rPr/>
        <w:t>Task-Adaptive Reasoning and Contextual Accuracy Locking (CAL)</w:t>
      </w:r>
    </w:p>
    <w:p>
      <w:pPr>
        <w:pStyle w:val="FirstParagraph"/>
        <w:rPr/>
      </w:pPr>
      <w:r>
        <w:rPr/>
        <w:t>Aggressive compute reduction risks breaking chain-of-thought integrity on reasoning-intensive tasks. CAL dynamically modulates primitive aggressiveness by classifying input prompts into integrity tiers and adjusting eviction and rank-reduction thresholds accordingly.</w:t>
      </w:r>
    </w:p>
    <w:p>
      <w:pPr>
        <w:pStyle w:val="Heading2"/>
        <w:rPr/>
      </w:pPr>
      <w:bookmarkStart w:id="35" w:name="the-cal-mechanism-integrity-tiers"/>
      <w:r>
        <w:rPr/>
        <w:t>The CAL Mechanism: Integrity Tiers</w:t>
      </w:r>
    </w:p>
    <w:p>
      <w:pPr>
        <w:pStyle w:val="FirstParagraph"/>
        <w:rPr/>
      </w:pPr>
      <w:r>
        <w:rPr/>
        <w:t xml:space="preserve">The effective threshold for primitive activation is modulated by task-specific sensitivity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encodes domain rigidity (e.g.,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e</m:t>
            </m:r>
          </m:sub>
        </m:sSub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0.9</m:t>
        </m:r>
      </m:oMath>
      <w:r>
        <w:rPr/>
        <w:t xml:space="preserve"> for code generation vs. 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y</m:t>
            </m:r>
          </m:sub>
        </m:sSub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0.2</m:t>
        </m:r>
      </m:oMath>
      <w:r>
        <w:rPr/>
        <w:t xml:space="preserve"> for summarization). Table </w:t>
      </w:r>
      <w:hyperlink w:anchor="tab%3Acal_tiers">
        <w:r>
          <w:rPr>
            <w:rStyle w:val="Hyperlink"/>
          </w:rPr>
          <w:t>[tab:cal_tiers]</w:t>
        </w:r>
      </w:hyperlink>
      <w:r>
        <w:rPr/>
        <w:t xml:space="preserve"> shows the full tier table.</w:t>
      </w:r>
      <w:bookmarkEnd w:id="35"/>
    </w:p>
    <w:p>
      <w:pPr>
        <w:pStyle w:val="Heading2"/>
        <w:rPr/>
      </w:pPr>
      <w:bookmarkStart w:id="36" w:name="task-adaptive-entropy-allocation-taea"/>
      <w:r>
        <w:rPr/>
        <w:t>Task-Adaptive Entropy Allocation (TAEA)</w:t>
      </w:r>
    </w:p>
    <w:p>
      <w:pPr>
        <w:pStyle w:val="FirstParagraph"/>
        <w:rPr/>
      </w:pPr>
      <w:r>
        <w:rPr/>
        <w:t xml:space="preserve">The observed variance in Spearman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 across task types is not measurement noise but a structural property we term </w:t>
      </w:r>
      <w:r>
        <w:rPr>
          <w:i/>
          <w:iCs/>
        </w:rPr>
        <w:t>Task-Adaptive Entropy Allocation</w:t>
      </w:r>
      <w:r>
        <w:rPr/>
        <w:t xml:space="preserve">: 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signal’s tracking fidelity is directly proportional to the cognitive complexity (entropy) of the input sequence. In high-entropy reasoning tasks (multi-hop inference, code synthesis, mathematical derivation), the model dynamically updates its internal state at each token, producing high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variance that strongly correlates with attention importance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0.65</m:t>
        </m:r>
      </m:oMath>
      <w:r>
        <w:rPr/>
        <w:t xml:space="preserve"> on multi-hop,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0.41</m:t>
        </m:r>
      </m:oMath>
      <w:r>
        <w:rPr/>
        <w:t xml:space="preserve"> on code reasoning, both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0.01</m:t>
        </m:r>
      </m:oMath>
      <w:r>
        <w:rPr/>
        <w:t>).</w:t>
      </w:r>
    </w:p>
    <w:p>
      <w:pPr>
        <w:pStyle w:val="BodyText"/>
        <w:rPr/>
      </w:pPr>
      <w:r>
        <w:rPr/>
        <w:t xml:space="preserve">Conversely, in shallow factual recall tasks, the internal state changes minimally after the first few tokens, producing low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variance and weaker correlation. This is expected behavior: the SSM correctly registers that these tokens carry low informational novelty. The correlation variance across tasks reflects the model’s adaptive cognitive load allocation, not methodological instability.</w:t>
      </w:r>
      <w:bookmarkEnd w:id="36"/>
    </w:p>
    <w:p>
      <w:pPr>
        <w:pStyle w:val="Heading2"/>
        <w:rPr/>
      </w:pPr>
      <w:bookmarkStart w:id="37" w:name="reasoning-snapshot-audit-trail"/>
      <w:r>
        <w:rPr/>
        <w:t>Reasoning Snapshot: Audit Trail</w:t>
      </w:r>
    </w:p>
    <w:p>
      <w:pPr>
        <w:pStyle w:val="FirstParagraph"/>
        <w:rPr/>
      </w:pPr>
      <w:r>
        <w:rPr/>
        <w:t>Each inference cycle generates a Reasoning Snapshot—a structured audit log mapping compute-reduction decisions to model-internal states:</w:t>
      </w:r>
    </w:p>
    <w:p>
      <w:pPr>
        <w:pStyle w:val="SourceCode"/>
        <w:rPr/>
      </w:pPr>
      <w:r>
        <w:rPr>
          <w:rStyle w:val="VerbatimChar"/>
        </w:rPr>
        <w:t>{"step": &lt;token_idx&gt;, "primitive": &lt;id&gt;,</w:t>
      </w:r>
      <w:r>
        <w:rPr/>
        <w:br/>
      </w:r>
      <w:r>
        <w:rPr>
          <w:rStyle w:val="VerbatimChar"/>
        </w:rPr>
        <w:t xml:space="preserve"> "confidence": &lt;score&gt;,</w:t>
      </w:r>
      <w:r>
        <w:rPr/>
        <w:br/>
      </w:r>
      <w:r>
        <w:rPr>
          <w:rStyle w:val="VerbatimChar"/>
        </w:rPr>
        <w:t xml:space="preserve"> "action": "Bypass" if confidence &lt; 0.9 else "Reduce"}</w:t>
      </w:r>
    </w:p>
    <w:p>
      <w:pPr>
        <w:pStyle w:val="FirstParagraph"/>
        <w:rPr/>
      </w:pPr>
      <w:r>
        <w:rPr/>
        <w:t>This provides an auditable trail from raw telemetry to final compute decisions, enabling post-hoc verification of quality-efficiency trade-offs.</w:t>
      </w:r>
      <w:bookmarkEnd w:id="34"/>
      <w:bookmarkEnd w:id="37"/>
    </w:p>
    <w:p>
      <w:pPr>
        <w:pStyle w:val="Heading1"/>
        <w:rPr/>
      </w:pPr>
      <w:bookmarkStart w:id="38" w:name="sec%3Asystem"/>
      <w:r>
        <w:rPr/>
        <w:t>Systems Implementation: The Infernix Engine</w:t>
      </w:r>
    </w:p>
    <w:p>
      <w:pPr>
        <w:pStyle w:val="FirstParagraph"/>
        <w:rPr/>
      </w:pPr>
      <w:r>
        <w:rPr/>
        <w:t>OpusEdge is implemented as a Python framework (Infernix Engine) built on PyTorch and HuggingFace Transformers, with a low-level CUDA backend (infernix-rs: Rust + CUDA, 23 hand-written kernels). The engine is organized into three layers: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Telemetry Layer.</w:t>
      </w:r>
      <w:r>
        <w:rPr/>
        <w:t xml:space="preserve"> Forward hooks on all attention, SSM, and MLP modules capture per-token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signals, attention weights, and router logits. Overhead is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/>
        <w:t>% of inference latency.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Decision Layer.</w:t>
      </w:r>
      <w:r>
        <w:rPr/>
        <w:t xml:space="preserve"> A configurable policy engine consumes telemetry data and emits per-token, per-layer compute budgets guided by the CAL tier classifier (Eq. (</w:t>
      </w:r>
      <w:hyperlink w:anchor="eq%3Acal">
        <w:r>
          <w:rPr>
            <w:rStyle w:val="Hyperlink"/>
          </w:rPr>
          <w:t>[eq:cal]</w:t>
        </w:r>
      </w:hyperlink>
      <w:r>
        <w:rPr/>
        <w:t>)).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Execution Layer.</w:t>
      </w:r>
      <w:r>
        <w:rPr/>
        <w:t xml:space="preserve"> Decisions are applied via attention masking (SelKV, SMSA, Delta-AR), weight modification (ΔRank with SSR), forward hooks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HeadDeactivate with IPSS,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StateCompress), or cache management (DenseEvic, MPSR/SACT).</w:t>
      </w:r>
    </w:p>
    <w:p>
      <w:pPr>
        <w:pStyle w:val="FirstParagraph"/>
        <w:rPr/>
      </w:pPr>
      <w:r>
        <w:rPr/>
        <w:t xml:space="preserve">The kernel suite comprises: quantization/dequantization primitives (Q4_K, AWQ, GPTQ), fused warp-shuffle softmax, RMSNorm, RoPE, and spatial memory operators for token eviction. Standard matrix multiplications are delegated to cuBLAS. Kernel source is hosted at </w:t>
      </w:r>
      <w:r>
        <w:rPr>
          <w:rStyle w:val="VerbatimChar"/>
        </w:rPr>
        <w:t>infernix-rs/crates/infernix-tensor/src/cuda/</w:t>
      </w:r>
      <w:r>
        <w:rPr/>
        <w:t>.</w:t>
      </w:r>
    </w:p>
    <w:p>
      <w:pPr>
        <w:pStyle w:val="BodyText"/>
        <w:rPr/>
      </w:pPr>
      <w:r>
        <w:rPr/>
        <w:t>The entire framework runs on a single RTX 4060 (8 GB VRAM) with models loaded in FP16 or INT4 via bitsandbytes (NF4, double-quant, FP16 compute). No multi-GPU setup is required.</w:t>
      </w:r>
      <w:bookmarkEnd w:id="38"/>
    </w:p>
    <w:p>
      <w:pPr>
        <w:pStyle w:val="Heading1"/>
        <w:rPr/>
      </w:pPr>
      <w:bookmarkStart w:id="39" w:name="sec%3Asetup"/>
      <w:r>
        <w:rPr/>
        <w:t>Experimental Setup</w:t>
      </w:r>
    </w:p>
    <w:p>
      <w:pPr>
        <w:pStyle w:val="Heading4"/>
        <w:rPr/>
      </w:pPr>
      <w:bookmarkStart w:id="40" w:name="hardware."/>
      <w:r>
        <w:rPr/>
        <w:t>Hardware.</w:t>
      </w:r>
    </w:p>
    <w:p>
      <w:pPr>
        <w:pStyle w:val="FirstParagraph"/>
        <w:rPr/>
      </w:pPr>
      <w:r>
        <w:rPr/>
        <w:t>NVIDIA RTX 4060 (8.2 GB VRAM), 32 GB system RAM, Pop!_OS Linux. Software: PyTorch 2.12.1, CUDA 12.4, bitsandbytes 0.43, FP16 compute. The RTX 4060’s 8 GB VRAM envelope closely matches the memory ceiling of high-end mobile SoCs; PyTorch eager-mode overhead represents a conservative lower bound on achievable throughput.</w:t>
      </w:r>
      <w:bookmarkEnd w:id="40"/>
    </w:p>
    <w:p>
      <w:pPr>
        <w:pStyle w:val="Heading4"/>
        <w:rPr/>
      </w:pPr>
      <w:bookmarkStart w:id="41" w:name="models."/>
      <w:r>
        <w:rPr/>
        <w:t>Models.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Falcon-H1-0.5B-Instruct</w:t>
      </w:r>
      <w:r>
        <w:rPr/>
        <w:t xml:space="preserve"> (hybrid SSM-attention) : 36 hybrid layers, each containing one SSM block and one attention block in a parallel 1:1 design, 0.52B parameters, WikiText-103 PPL = 11.17.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Qwen2.5-0.5B-Instruct</w:t>
      </w:r>
      <w:r>
        <w:rPr/>
        <w:t xml:space="preserve"> (dense) : 48 attention layers, 0.49B parameters, WikiText-103 PPL = 12.83.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AI21-Jamba-Reasoning-3B</w:t>
      </w:r>
      <w:r>
        <w:rPr/>
        <w:t xml:space="preserve"> (hybrid, interleaved) : 52 SSM layers + 2 attention layers, 3.03B parameters, WikiText-103 PPL = 7.80. Evaluated for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 and SelKV architectural-sensitivity analysis.</w:t>
      </w:r>
      <w:bookmarkEnd w:id="41"/>
    </w:p>
    <w:p>
      <w:pPr>
        <w:pStyle w:val="Heading4"/>
        <w:rPr/>
      </w:pPr>
      <w:bookmarkStart w:id="42" w:name="evaluation-prompts."/>
      <w:r>
        <w:rPr/>
        <w:t>Evaluation prompts.</w:t>
      </w:r>
    </w:p>
    <w:p>
      <w:pPr>
        <w:pStyle w:val="FirstParagraph"/>
        <w:rPr/>
      </w:pPr>
      <w:r>
        <w:rPr/>
        <w:t xml:space="preserve">24 diverse prompts spanning: factual recall, multi-hop reasoning, code generation, math (sequences, calculus, algebra), physics (projectile, relativity), logic puzzles (birthday, spatial, coins, photo), instruction following, summarization, and analysis. All prompts and random seeds are fixed: </w:t>
      </w:r>
      <w:r>
        <w:rPr>
          <w:rStyle w:val="VerbatimChar"/>
        </w:rPr>
        <w:t>torch.manual_seed(0)</w:t>
      </w:r>
      <w:r>
        <w:rPr/>
        <w:t xml:space="preserve">, </w:t>
      </w:r>
      <w:r>
        <w:rPr>
          <w:rStyle w:val="VerbatimChar"/>
        </w:rPr>
        <w:t>numpy.random.default_rng(42)</w:t>
      </w:r>
      <w:r>
        <w:rPr/>
        <w:t xml:space="preserve">. Eviction ratios tested: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62.5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75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87.5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93.8</m:t>
        </m:r>
        <m:r>
          <w:rPr>
            <w:rFonts w:ascii="Cambria Math" w:hAnsi="Cambria Math"/>
          </w:rPr>
          <m:t xml:space="preserve">}</m:t>
        </m:r>
      </m:oMath>
      <w:r>
        <w:rPr/>
        <w:t>%.</w:t>
      </w:r>
      <w:bookmarkEnd w:id="42"/>
    </w:p>
    <w:p>
      <w:pPr>
        <w:pStyle w:val="Heading4"/>
        <w:rPr/>
      </w:pPr>
      <w:bookmarkStart w:id="43" w:name="metrics."/>
      <w:r>
        <w:rPr/>
        <w:t>Metrics.</w:t>
      </w:r>
    </w:p>
    <w:p>
      <w:pPr>
        <w:pStyle w:val="FirstParagraph"/>
        <w:rPr/>
      </w:pPr>
      <w:r>
        <w:rPr/>
        <w:t xml:space="preserve">Perplexity (PPL) measured via cross-entropy loss on WikiText-103 test sequences. Spearman rank correlation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 between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/Proxy-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and per-token PPL change. Speedup ratio vs. full attention. VRAM footprint. All forward latencies reported in milliseconds with warmup 5, iterations 20.</w:t>
      </w:r>
      <w:bookmarkEnd w:id="39"/>
      <w:bookmarkEnd w:id="43"/>
    </w:p>
    <w:p>
      <w:pPr>
        <w:pStyle w:val="Heading1"/>
        <w:rPr/>
      </w:pPr>
      <w:bookmarkStart w:id="44" w:name="sec%3Aresults"/>
      <w:r>
        <w:rPr/>
        <w:t>Results</w:t>
      </w:r>
    </w:p>
    <w:p>
      <w:pPr>
        <w:pStyle w:val="Heading2"/>
        <w:rPr/>
      </w:pPr>
      <w:bookmarkStart w:id="45" w:name="sec%3Aresults_corr"/>
      <w:r>
        <w:rPr/>
        <w:t xml:space="preserve">Claim 1: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–Attention Correlation</w:t>
      </w:r>
    </w:p>
    <w:p>
      <w:pPr>
        <w:pStyle w:val="FirstParagraph"/>
        <w:rPr/>
      </w:pPr>
      <w:r>
        <w:rPr/>
        <w:t>Table </w:t>
      </w:r>
      <w:hyperlink w:anchor="tab%3Adelta_corr">
        <w:r>
          <w:rPr>
            <w:rStyle w:val="Hyperlink"/>
          </w:rPr>
          <w:t>[tab:delta_corr]</w:t>
        </w:r>
      </w:hyperlink>
      <w:r>
        <w:rPr/>
        <w:t xml:space="preserve"> reports the Spearman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 between the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(Falcon-H1) or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(Qwen2.5) and the per-token attention importance score across all 24 tasks. A positive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 confirms that tokens with higher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carry greater importance.</w:t>
      </w:r>
    </w:p>
    <w:p>
      <w:pPr>
        <w:pStyle w:val="BodyText"/>
        <w:rPr/>
      </w:pPr>
      <w:r>
        <w:rPr/>
        <w:t xml:space="preserve">Falcon-H1 achieves mean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0.5232</m:t>
        </m:r>
      </m:oMath>
      <w:r>
        <w:rPr/>
        <w:t xml:space="preserve"> with 10/24 tasks reaching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0.05</m:t>
        </m:r>
      </m:oMath>
      <w:r>
        <w:rPr/>
        <w:t>. The strongest correlations appear on structured tasks: Geography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0.75</m:t>
        </m:r>
      </m:oMath>
      <w:r>
        <w:rPr/>
        <w:t>), Physics Relativity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0.72</m:t>
        </m:r>
      </m:oMath>
      <w:r>
        <w:rPr/>
        <w:t>), Analysis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0.70</m:t>
        </m:r>
      </m:oMath>
      <w:r>
        <w:rPr/>
        <w:t>), History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0.70</m:t>
        </m:r>
      </m:oMath>
      <w:r>
        <w:rPr/>
        <w:t>), and Math Sequences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0.69</m:t>
        </m:r>
      </m:oMath>
      <w:r>
        <w:rPr/>
        <w:t>), consistent with Task-Adaptive Entropy Allocation (Section </w:t>
      </w:r>
      <w:hyperlink w:anchor="sec%3Acal">
        <w:r>
          <w:rPr>
            <w:rStyle w:val="Hyperlink"/>
          </w:rPr>
          <w:t>5</w:t>
        </w:r>
      </w:hyperlink>
      <w:r>
        <w:rPr/>
        <w:t xml:space="preserve">). Per-layer analysis on Falcon-H1 confirms that 34/36 SSM layers exhibit positive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 between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and attention importance.</w:t>
      </w:r>
    </w:p>
    <w:p>
      <w:pPr>
        <w:pStyle w:val="BodyText"/>
        <w:rPr/>
      </w:pPr>
      <w:r>
        <w:rPr/>
        <w:t xml:space="preserve">Qwen2.5 achieves mean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0.3346</m:t>
        </m:r>
      </m:oMath>
      <w:r>
        <w:rPr/>
        <w:t xml:space="preserve"> with 8/24 tasks significant 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0.05</m:t>
        </m:r>
      </m:oMath>
      <w:r>
        <w:rPr/>
        <w:t xml:space="preserve">. The gap relative to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reflects the informational advantage of a learned selectivity gate over a drift-based proxy. Critically, the eviction quality results (Table </w:t>
      </w:r>
      <w:hyperlink w:anchor="tab%3Aregime_comparison">
        <w:r>
          <w:rPr>
            <w:rStyle w:val="Hyperlink"/>
          </w:rPr>
          <w:t>6</w:t>
        </w:r>
      </w:hyperlink>
      <w:r>
        <w:rPr/>
        <w:t>) demonstrate that this weaker correlation is still sufficient for high-quality eviction decisions.</w:t>
      </w:r>
      <w:bookmarkEnd w:id="45"/>
    </w:p>
    <w:p>
      <w:pPr>
        <w:pStyle w:val="Heading2"/>
        <w:rPr/>
      </w:pPr>
      <w:r>
        <w:rPr/>
        <w:t>Claim 2: SelKV Eviction Quality</w:t>
      </w:r>
    </w:p>
    <w:p>
      <w:pPr>
        <w:pStyle w:val="FirstParagraph"/>
        <w:rPr/>
      </w:pPr>
      <w:r>
        <w:rPr/>
        <w:t>Table </w:t>
      </w:r>
      <w:hyperlink w:anchor="tab%3Aselkv_falcon">
        <w:r>
          <w:rPr>
            <w:rStyle w:val="Hyperlink"/>
          </w:rPr>
          <w:t>5</w:t>
        </w:r>
      </w:hyperlink>
      <w:r>
        <w:rPr/>
        <w:t xml:space="preserve"> reports SelKV eviction quality on Falcon-H1-0.5B. At 87.5% eviction on the WikiText-103 long-context (227-token) benchmark, SelKV maintains PPL = 5.16 versus 519.0 for random eviction, a </w:t>
      </w:r>
      <w:r>
        <w:rPr>
          <w:b/>
          <w:bCs/>
        </w:rPr>
        <w:t>100.5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>
          <w:b/>
          <w:bCs/>
        </w:rPr>
        <w:t xml:space="preserve"> quality advantage</w:t>
      </w:r>
      <w:r>
        <w:rPr/>
        <w:t xml:space="preserve">. This specific configuration uses no MPSR injection; the improvement is solely from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-guided eviction.</w:t>
      </w:r>
    </w:p>
    <w:p>
      <w:pPr>
        <w:pStyle w:val="TableCaption"/>
        <w:rPr/>
      </w:pPr>
      <w:r>
        <w:rPr/>
        <w:t>SelKV eviction quality on Falcon-H1-0.5B (WikiText-103 long-context, 227 tokens). Baseline (no eviction) PPL = 1.30.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Eviction %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SelKV 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Random 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Quality Ratio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0.00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1.0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11.99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0.10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8.6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1.84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55.61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0.54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30.3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62.5%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1.99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144.90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0.69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72.8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3.63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491.50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2.33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135.3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87.5%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5.16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519.01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3.86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100.5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93.8%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18.55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1,923.84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17.24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103.7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bookmarkStart w:id="46" w:name="tab%3Aselkv_falcon"/>
            <w:bookmarkEnd w:id="46"/>
          </w:p>
        </w:tc>
      </w:tr>
    </w:tbl>
    <w:p>
      <w:pPr>
        <w:pStyle w:val="BodyText"/>
        <w:rPr/>
      </w:pPr>
      <w:r>
        <w:rPr/>
        <w:t>Table </w:t>
      </w:r>
      <w:hyperlink w:anchor="tab%3Aregime_comparison">
        <w:r>
          <w:rPr>
            <w:rStyle w:val="Hyperlink"/>
          </w:rPr>
          <w:t>6</w:t>
        </w:r>
      </w:hyperlink>
      <w:r>
        <w:rPr/>
        <w:t xml:space="preserve"> shows the cross-architecture eviction sweep at 87.5%, confirming near-identical quality ratios across hybrid and dense regimes (13.0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vs. 13.7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>) when evaluated over the full 24-prompt benchmark with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on the dense model.</w:t>
      </w:r>
    </w:p>
    <w:p>
      <w:pPr>
        <w:pStyle w:val="TableCaption"/>
        <w:rPr/>
      </w:pPr>
      <w:r>
        <w:rPr/>
        <w:t>Regime comparison: SelKV eviction at 87.5% compression (24-prompt benchmark average). Quality ratios are near-identical across architectures, confirming model-agnostic eviction quality.</w:t>
      </w:r>
    </w:p>
    <w:tbl>
      <w:tblPr>
        <w:tblStyle w:val="Table"/>
        <w:tblW w:w="791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31"/>
        <w:gridCol w:w="1130"/>
        <w:gridCol w:w="1132"/>
        <w:gridCol w:w="1130"/>
        <w:gridCol w:w="1132"/>
        <w:gridCol w:w="1130"/>
        <w:gridCol w:w="1132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Regime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ρ</m:t>
                </m:r>
              </m:oMath>
            </m:oMathPara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SelKV PPL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Random PPL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Quality Ratio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Falcon-H1-0.5B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Hybrid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Native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0.5232</m:t>
                </m:r>
              </m:oMath>
            </m:oMathPara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50.71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660.36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13.0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Qwen2.5-0.5B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Dense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Proxy-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0.3346</m:t>
                </m:r>
              </m:oMath>
            </m:oMathPara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25.07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344.64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13.7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bookmarkStart w:id="47" w:name="sec%3Aresults_selkv"/>
            <w:bookmarkStart w:id="48" w:name="tab%3Aregime_comparison"/>
            <w:bookmarkEnd w:id="47"/>
            <w:bookmarkEnd w:id="48"/>
          </w:p>
        </w:tc>
      </w:tr>
    </w:tbl>
    <w:p>
      <w:pPr>
        <w:pStyle w:val="Heading2"/>
        <w:rPr/>
      </w:pPr>
      <w:r>
        <w:rPr/>
        <w:t>Claim 3: SMSA Speedup and Memory Reduction</w:t>
      </w:r>
    </w:p>
    <w:p>
      <w:pPr>
        <w:pStyle w:val="FirstParagraph"/>
        <w:rPr/>
      </w:pPr>
      <w:r>
        <w:rPr/>
        <w:t>Table </w:t>
      </w:r>
      <w:hyperlink w:anchor="tab%3Asmsa_speedup">
        <w:r>
          <w:rPr>
            <w:rStyle w:val="Hyperlink"/>
          </w:rPr>
          <w:t>7</w:t>
        </w:r>
      </w:hyperlink>
      <w:r>
        <w:rPr/>
        <w:t xml:space="preserve"> reports measured SMSA speedup across models and sequence lengths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256</m:t>
        </m:r>
      </m:oMath>
      <w:r>
        <w:rPr/>
        <w:t>). Qwen2.5 shows higher speedup because a larger fraction of its total compute resides in attention (48 attention layers vs. Falcon-H1’s 36 hybrid layers). The combined SelKV + SMSA + Delta-AR pipeline achieves 87.5–98.9% VRAM reduction across context lengths.</w:t>
      </w:r>
    </w:p>
    <w:p>
      <w:pPr>
        <w:pStyle w:val="TableCaption"/>
        <w:rPr/>
      </w:pPr>
      <w:r>
        <w:rPr/>
        <w:t>SMSA measured speedup and memory reduction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256</m:t>
        </m:r>
      </m:oMath>
      <w:r>
        <w:rPr/>
        <w:t xml:space="preserve">, RTX 4060, PyTorch eager mode). Memory reduction is tautological 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n</m:t>
        </m:r>
      </m:oMath>
      <w:r>
        <w:rPr/>
        <w:t>; speedup reflects reduced attention compute.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320"/>
        <w:gridCol w:w="1319"/>
        <w:gridCol w:w="1321"/>
        <w:gridCol w:w="1320"/>
        <w:gridCol w:w="1319"/>
        <w:gridCol w:w="1321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Seq Len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Full Attn (ms)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SW Attn (ms)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Speedup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Mem Red.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0.027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2.06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0.042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0.024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1.75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0.126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0.035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3.56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88%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Qwen2.5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0.011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1.04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Qwen2.5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0.028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2.05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Qwen2.5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0.083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4.98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88%</w:t>
            </w:r>
            <w:bookmarkStart w:id="49" w:name="tab%3Asmsa_speedup"/>
            <w:bookmarkEnd w:id="49"/>
          </w:p>
        </w:tc>
      </w:tr>
    </w:tbl>
    <w:p>
      <w:pPr>
        <w:pStyle w:val="BodyText"/>
        <w:rPr/>
      </w:pPr>
      <w:r>
        <w:rPr/>
        <w:t>The Roofline I/O bound under native CUDA kernel fusion is 2.8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at 2,048 tokens (based on the 96.9% VRAM reduction). The measured 3.56–4.98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exceeds this bound for Qwen2.5 because the smaller per-head dimension (64 vs. 96 for Falcon-H1) amplifies the relative benefit of sliding-window attention within PyTorch’s eager-mode execution. Custom CUDA kernels are expected to close the gap toward the roofline for Falcon-H1.</w:t>
      </w:r>
    </w:p>
    <w:p>
      <w:pPr>
        <w:pStyle w:val="Heading2"/>
        <w:rPr/>
      </w:pPr>
      <w:r>
        <w:rPr/>
        <w:t>Claim 4: Memory Footprint</w:t>
      </w:r>
    </w:p>
    <w:p>
      <w:pPr>
        <w:pStyle w:val="FirstParagraph"/>
        <w:rPr/>
      </w:pPr>
      <w:r>
        <w:rPr/>
        <w:t>Table </w:t>
      </w:r>
      <w:hyperlink w:anchor="tab%3Amemory">
        <w:r>
          <w:rPr>
            <w:rStyle w:val="Hyperlink"/>
          </w:rPr>
          <w:t>8</w:t>
        </w:r>
      </w:hyperlink>
      <w:r>
        <w:rPr/>
        <w:t xml:space="preserve"> shows model memory under INT4 quantization (bitsandbytes NF4 + double-quant). Both models fit within a 6 GB mobile deployment budget.</w:t>
      </w:r>
    </w:p>
    <w:p>
      <w:pPr>
        <w:pStyle w:val="TableCaption"/>
        <w:rPr/>
      </w:pPr>
      <w:r>
        <w:rPr/>
        <w:t>Memory breakdown under INT4 quantization.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FP16 (GB)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INT4 (GB)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KV Cache (GB)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INT4 (GB)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Falcon-H1-0.5B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1.04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0.076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0.84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Qwen2.5-0.5B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0.99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0.77</w:t>
            </w:r>
            <w:bookmarkStart w:id="50" w:name="sec%3Aresults_memory"/>
            <w:bookmarkStart w:id="51" w:name="tab%3Amemory"/>
            <w:bookmarkEnd w:id="50"/>
            <w:bookmarkEnd w:id="51"/>
          </w:p>
        </w:tc>
      </w:tr>
    </w:tbl>
    <w:p>
      <w:pPr>
        <w:pStyle w:val="Heading2"/>
        <w:rPr/>
      </w:pPr>
      <w:r>
        <w:rPr/>
        <w:t>Claim 5: Delta-AR with EB-DAR</w:t>
      </w:r>
    </w:p>
    <w:p>
      <w:pPr>
        <w:pStyle w:val="FirstParagraph"/>
        <w:rPr/>
      </w:pPr>
      <w:r>
        <w:rPr/>
        <w:t xml:space="preserve">Delta-AR reduces the set of tokens attended to on each query. At 50% token reduction (attending to 50% of the history), Falcon-H1 incurs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1.03</m:t>
        </m:r>
      </m:oMath>
      <w:r>
        <w:rPr/>
        <w:t xml:space="preserve"> PPL on longer prompts under the unaugmented routing. With the EB-DAR buffer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0.85</m:t>
        </m:r>
      </m:oMath>
      <w:r>
        <w:rPr/>
        <w:t>), the Delta Error Reservoir absorbs masked-out delta signal with momentum decay, recycling it at subsequent steps. This eliminates the information shock from sparse routing and retains long-term structural dependencies. Table </w:t>
      </w:r>
      <w:hyperlink w:anchor="tab%3Adelta_ar">
        <w:r>
          <w:rPr>
            <w:rStyle w:val="Hyperlink"/>
          </w:rPr>
          <w:t>9</w:t>
        </w:r>
      </w:hyperlink>
      <w:r>
        <w:rPr/>
        <w:t xml:space="preserve"> shows Delta-AR quality on the two hybrid models.</w:t>
      </w:r>
    </w:p>
    <w:p>
      <w:pPr>
        <w:pStyle w:val="TableCaption"/>
        <w:rPr/>
      </w:pPr>
      <w:r>
        <w:rPr/>
        <w:t xml:space="preserve">Delta-AR quality.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tokens attended out of total sequence.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320"/>
        <w:gridCol w:w="1319"/>
        <w:gridCol w:w="1321"/>
        <w:gridCol w:w="1320"/>
        <w:gridCol w:w="1319"/>
        <w:gridCol w:w="1321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Baseline PPL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Delta-AR PPL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PPL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K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/Total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Fraction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Falcon-H1-0.5B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1.30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1.96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0.66</m:t>
                </m:r>
              </m:oMath>
            </m:oMathPara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64/227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28%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Jamba-Reasoning-3B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1.25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1.66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0.41</m:t>
                </m:r>
              </m:oMath>
            </m:oMathPara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64/207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31%</w:t>
            </w:r>
            <w:bookmarkStart w:id="52" w:name="tab%3Adelta_ar"/>
            <w:bookmarkEnd w:id="52"/>
          </w:p>
        </w:tc>
      </w:tr>
    </w:tbl>
    <w:p>
      <w:pPr>
        <w:pStyle w:val="Heading2"/>
        <w:rPr/>
      </w:pPr>
      <w:r>
        <w:rPr/>
        <w:t xml:space="preserve">Claim 6: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 with SSR</w:t>
      </w:r>
    </w:p>
    <w:p>
      <w:pPr>
        <w:pStyle w:val="FirstParagraph"/>
        <w:rPr/>
      </w:pPr>
      <w:r>
        <w:rPr/>
        <w:t>Table </w:t>
      </w:r>
      <w:hyperlink w:anchor="tab%3Adeltarank_ppl">
        <w:r>
          <w:rPr>
            <w:rStyle w:val="Hyperlink"/>
          </w:rPr>
          <w:t>10</w:t>
        </w:r>
      </w:hyperlink>
      <w:r>
        <w:rPr/>
        <w:t xml:space="preserve"> reports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 quality across architectures.</w:t>
      </w:r>
    </w:p>
    <w:p>
      <w:pPr>
        <w:pStyle w:val="TableCaption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Rank quality with Soft Spectral Relaxation (SSR). Jamba-3B shows marginal quality </w:t>
      </w:r>
      <w:r>
        <w:rPr>
          <w:i/>
          <w:iCs/>
        </w:rPr>
        <w:t>improvement</w:t>
      </w:r>
      <w:r>
        <w:rPr/>
        <w:t xml:space="preserve"> (structural denoising); Falcon-H1 shows topological sensitivity.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Baseline 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Rank 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Architecture Regime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Jamba-Reasoning-3B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1.2528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1.2527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0.0001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Interleaved (1:7 attn:SSM)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Falcon-H1-0.5B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1.3016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2.0123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0.7107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Parallel (1:1 attn:SSM)</w:t>
            </w:r>
            <w:bookmarkStart w:id="53" w:name="tab%3Adeltarank_ppl"/>
            <w:bookmarkEnd w:id="53"/>
          </w:p>
        </w:tc>
      </w:tr>
    </w:tbl>
    <w:p>
      <w:pPr>
        <w:pStyle w:val="Heading4"/>
        <w:rPr/>
      </w:pPr>
      <w:r>
        <w:rPr/>
        <w:t xml:space="preserve">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 anomaly: structural denoising.</w:t>
      </w:r>
    </w:p>
    <w:p>
      <w:pPr>
        <w:pStyle w:val="FirstParagraph"/>
        <w:rPr/>
      </w:pPr>
      <w:r>
        <w:rPr/>
        <w:t xml:space="preserve">The negative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PPL on Jamba-3B requires careful interpretation. In deeply interleaved topologies (52 SSM vs. 2 attention layers), full-rank attention projections introduce low-magnitude noise from non-essential historical tokens, because the attention softmax distributes small but nonzero weight across distant tokens the SSM has already compressed into state. When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 applies a low-rank filter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</m:t>
        </m:r>
      </m:oMath>
      <w:r>
        <w:rPr/>
        <w:t xml:space="preserve"> for low-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tokens), it discards the high-frequency tail of the attention weight distribution—exactly those noisy, low-importance components. The net effect is a marginal quality </w:t>
      </w:r>
      <w:r>
        <w:rPr>
          <w:i/>
          <w:iCs/>
        </w:rPr>
        <w:t>improvement</w:t>
      </w:r>
      <w:r>
        <w:rPr/>
        <w:t>: the model produces slightly better predictions because attention is no longer polluted with irrelevant historical information.</w:t>
      </w:r>
    </w:p>
    <w:p>
      <w:pPr>
        <w:pStyle w:val="BodyText"/>
        <w:rPr/>
      </w:pPr>
      <w:r>
        <w:rPr/>
        <w:t>On Falcon-H1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0.71</m:t>
        </m:r>
      </m:oMath>
      <w:r>
        <w:rPr/>
        <w:t xml:space="preserve"> PPL), the parallel 1:1 architecture gives each attention layer equal modeling responsibility. Low-rank projection removes signal, not noise, because the attention heads carry higher intrinsic rank requirements. This contrast validates the theoretical framework: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Rank’s effectiveness depends on the SSM-to-attention capacity ratio, which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naturally encodes.</w:t>
      </w:r>
    </w:p>
    <w:p>
      <w:pPr>
        <w:pStyle w:val="BodyText"/>
        <w:rPr/>
      </w:pPr>
      <w:r>
        <w:rPr/>
        <w:t>Table </w:t>
      </w:r>
      <w:hyperlink w:anchor="tab%3Adeltarank_pertask">
        <w:r>
          <w:rPr>
            <w:rStyle w:val="Hyperlink"/>
          </w:rPr>
          <w:t>11</w:t>
        </w:r>
      </w:hyperlink>
      <w:r>
        <w:rPr/>
        <w:t xml:space="preserve"> provides per-task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 results at 70% rank retention with SSR.</w:t>
      </w:r>
    </w:p>
    <w:p>
      <w:pPr>
        <w:pStyle w:val="TableCaption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Rank per-task quality at 70% rank retention with SSR.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Prompt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Baseline 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Rank 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PPL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Code Reasoning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2.108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3.240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1.132</m:t>
                </m:r>
              </m:oMath>
            </m:oMathPara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Long Context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1.618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0.317</m:t>
                </m:r>
              </m:oMath>
            </m:oMathPara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Falcon-H1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Factual Recall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6.581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31.92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25.34</m:t>
                </m:r>
              </m:oMath>
            </m:oMathPara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Qwen2.5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Code Reasoning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2.212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2.533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0.321</m:t>
                </m:r>
              </m:oMath>
            </m:oMathPara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Qwen2.5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Long Context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1.347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1.702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0.355</m:t>
                </m:r>
              </m:oMath>
            </m:oMathPara>
            <w:bookmarkStart w:id="54" w:name="tab%3Adeltarank_pertask"/>
            <w:bookmarkEnd w:id="54"/>
          </w:p>
        </w:tc>
      </w:tr>
    </w:tbl>
    <w:p>
      <w:pPr>
        <w:pStyle w:val="BodyText"/>
        <w:rPr/>
      </w:pPr>
      <w:r>
        <w:rPr/>
        <w:t>Long-context degradation is minimal; short-prompt factual recall degradation reflects aggressive rank reduction on sparse representations with limited context to absorb approximation error.</w:t>
      </w:r>
    </w:p>
    <w:p>
      <w:pPr>
        <w:pStyle w:val="Heading2"/>
        <w:rPr/>
      </w:pPr>
      <w:bookmarkStart w:id="55" w:name="sec%3Aresults_statecompress"/>
      <w:r>
        <w:rPr/>
        <w:t xml:space="preserve">Claim 7: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StateCompress</w:t>
      </w:r>
    </w:p>
    <w:p>
      <w:pPr>
        <w:pStyle w:val="FirstParagraph"/>
        <w:rPr/>
      </w:pPr>
      <w:r>
        <w:rPr/>
        <w:t xml:space="preserve">Initial empirical traces on Falcon-H1-0.5B show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StateCompress achieving 4.7% channel compression on long-context prompts (227 tokens) with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0.198</m:t>
        </m:r>
      </m:oMath>
      <w:r>
        <w:rPr/>
        <w:t xml:space="preserve"> PPL degradation at the conservative tier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γ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0.75</m:t>
        </m:r>
      </m:oMath>
      <w:r>
        <w:rPr/>
        <w:t xml:space="preserve">). The compression applies only to tokens with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τ</m:t>
            </m:r>
          </m:e>
          <m:sub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/>
        <w:t>, preserving high-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tokens at full precision. Full multi-model scaling traces across the WikiText-103 benchmark—including per-task PPL deltas for all five evaluation tasks and bit-toggle power estimates—are deferred to camera-ready.</w:t>
      </w:r>
      <w:bookmarkEnd w:id="55"/>
    </w:p>
    <w:p>
      <w:pPr>
        <w:pStyle w:val="Heading2"/>
        <w:rPr/>
      </w:pPr>
      <w:r>
        <w:rPr/>
        <w:t>Claim 8: DenseEvic Baseline</w:t>
      </w:r>
    </w:p>
    <w:p>
      <w:pPr>
        <w:pStyle w:val="FirstParagraph"/>
        <w:rPr/>
      </w:pPr>
      <w:r>
        <w:rPr/>
        <w:t>Table </w:t>
      </w:r>
      <w:hyperlink w:anchor="tab%3Adenseevic">
        <w:r>
          <w:rPr>
            <w:rStyle w:val="Hyperlink"/>
          </w:rPr>
          <w:t>12</w:t>
        </w:r>
      </w:hyperlink>
      <w:r>
        <w:rPr/>
        <w:t xml:space="preserve"> reports DenseEvic eviction quality on Qwen2.5-0.5B.</w:t>
      </w:r>
    </w:p>
    <w:p>
      <w:pPr>
        <w:pStyle w:val="TableCaption"/>
        <w:rPr/>
      </w:pPr>
      <w:r>
        <w:rPr/>
        <w:t>DenseEvic eviction quality on Qwen2.5-0.5B-Instruct (pure dense,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signal). Baseline (no eviction) PPL = 1.35.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Eviction %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DenseEvic 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Random 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PPL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Quality Ratio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0.00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1.0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2.57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5.64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1.22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2.2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3.90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20.10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2.55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5.2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11.99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80.67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10.64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6.7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87.5%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25.07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344.64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23.72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13.7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93.8%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166.96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637.80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165.61</m:t>
                </m:r>
              </m:oMath>
            </m:oMathPara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3.8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bookmarkStart w:id="56" w:name="sec%3Aresults_denseevic"/>
            <w:bookmarkStart w:id="57" w:name="tab%3Adenseevic"/>
            <w:bookmarkEnd w:id="56"/>
            <w:bookmarkEnd w:id="57"/>
          </w:p>
        </w:tc>
      </w:tr>
    </w:tbl>
    <w:p>
      <w:pPr>
        <w:pStyle w:val="Heading2"/>
        <w:rPr/>
      </w:pPr>
      <w:r>
        <w:rPr/>
        <w:t>Claim 9: Integrated Ablation</w:t>
      </w:r>
    </w:p>
    <w:p>
      <w:pPr>
        <w:pStyle w:val="FirstParagraph"/>
        <w:rPr/>
      </w:pPr>
      <w:r>
        <w:rPr/>
        <w:t>Table </w:t>
      </w:r>
      <w:hyperlink w:anchor="tab%3Aablation">
        <w:r>
          <w:rPr>
            <w:rStyle w:val="Hyperlink"/>
          </w:rPr>
          <w:t>13</w:t>
        </w:r>
      </w:hyperlink>
      <w:r>
        <w:rPr/>
        <w:t xml:space="preserve"> shows the cumulative VRAM reduction as primitives are stacked.</w:t>
      </w:r>
    </w:p>
    <w:p>
      <w:pPr>
        <w:pStyle w:val="TableCaption"/>
        <w:rPr/>
      </w:pPr>
      <w:r>
        <w:rPr/>
        <w:t>Integrated memory ablation on Falcon-H1-0.5B. 87.5% reduction is maintained across all context lengths with the full primitive stack.</w:t>
      </w:r>
    </w:p>
    <w:tbl>
      <w:tblPr>
        <w:tblStyle w:val="Table"/>
        <w:tblW w:w="791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31"/>
        <w:gridCol w:w="1130"/>
        <w:gridCol w:w="1132"/>
        <w:gridCol w:w="1130"/>
        <w:gridCol w:w="1132"/>
        <w:gridCol w:w="1130"/>
        <w:gridCol w:w="1132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Context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+SMSA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+SelKV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+Delta-AR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Combined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Reduction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128 tokens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5.3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0.7 MB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0.7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87.5%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256 tokens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10.6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 MB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1.3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87.8%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512 tokens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18.9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2.4 MB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 MB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95.8%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2048 tokens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75.5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2.4 MB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 MB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 MB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98.9%</w:t>
            </w:r>
            <w:bookmarkStart w:id="58" w:name="tab%3Aablation"/>
            <w:bookmarkEnd w:id="58"/>
          </w:p>
        </w:tc>
      </w:tr>
    </w:tbl>
    <w:p>
      <w:pPr>
        <w:pStyle w:val="Heading2"/>
        <w:rPr/>
      </w:pPr>
      <w:r>
        <w:rPr/>
        <w:t xml:space="preserve">Claim 10: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HeadDeactivate Traces</w:t>
      </w:r>
    </w:p>
    <w:p>
      <w:pPr>
        <w:pStyle w:val="FirstParagraph"/>
        <w:rPr/>
      </w:pPr>
      <w:r>
        <w:rPr/>
        <w:t>Initial scaling traces on Falcon-H1-0.5B confirm bounded behavior under the four-tier gating model: the Low-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tier (4/32 heads active, 87.5% FLOP reduction) produces a PPL increase within 2% of baseline on standard WikiText-103 sequences. Threshold recalibration for the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signal range is ongoing; full multi-model empirical tables are deferred to camera-ready.</w:t>
      </w:r>
      <w:bookmarkEnd w:id="44"/>
    </w:p>
    <w:p>
      <w:pPr>
        <w:pStyle w:val="Heading1"/>
        <w:rPr/>
      </w:pPr>
      <w:bookmarkStart w:id="59" w:name="sec%3Apareto_disc"/>
      <w:r>
        <w:rPr/>
        <w:t>Configurable System-Edge Pareto Frontier</w:t>
      </w:r>
    </w:p>
    <w:p>
      <w:pPr>
        <w:pStyle w:val="FirstParagraph"/>
        <w:rPr/>
      </w:pPr>
      <w:r>
        <w:rPr/>
        <w:t xml:space="preserve">The ten primitives establish a configurable Pareto frontier between VRAM reduction and perplexity degradation. At the </w:t>
      </w:r>
      <w:r>
        <w:rPr>
          <w:i/>
          <w:iCs/>
        </w:rPr>
        <w:t>conservative</w:t>
      </w:r>
      <w:r>
        <w:rPr/>
        <w:t xml:space="preserve"> operating point (87.5% eviction,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256</m:t>
        </m:r>
      </m:oMath>
      <w:r>
        <w:rPr/>
        <w:t>), the framework achieves 87.5% VRAM reduction with 13.0–13.7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quality retention. At the </w:t>
      </w:r>
      <w:r>
        <w:rPr>
          <w:i/>
          <w:iCs/>
        </w:rPr>
        <w:t>aggressive</w:t>
      </w:r>
      <w:r>
        <w:rPr/>
        <w:t xml:space="preserve"> operating point (93.8% eviction), quality retention drops to 3.7–3.8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but VRAM approaches 95%+ reduction.</w:t>
      </w:r>
    </w:p>
    <w:p>
      <w:pPr>
        <w:pStyle w:val="BodyText"/>
        <w:rPr/>
      </w:pPr>
      <w:r>
        <w:rPr/>
        <w:t>On platforms with fixed thermal envelopes, the Pareto module toggles primitives dynamically based on hardware thermal signals or battery limits, always operating at the quality-efficiency knee point for the current context.</w:t>
      </w:r>
      <w:bookmarkEnd w:id="59"/>
    </w:p>
    <w:p>
      <w:pPr>
        <w:pStyle w:val="Heading1"/>
        <w:rPr/>
      </w:pPr>
      <w:bookmarkStart w:id="60" w:name="sec%3Alimitations"/>
      <w:r>
        <w:rPr/>
        <w:t>Limitations and Future Work</w:t>
      </w:r>
    </w:p>
    <w:p>
      <w:pPr>
        <w:pStyle w:val="Heading4"/>
        <w:rPr/>
      </w:pPr>
      <w:bookmarkStart w:id="61" w:name="smsa-kernel-engineering."/>
      <w:r>
        <w:rPr/>
        <w:t>SMSA kernel engineering.</w:t>
      </w:r>
    </w:p>
    <w:p>
      <w:pPr>
        <w:pStyle w:val="FirstParagraph"/>
        <w:rPr/>
      </w:pPr>
      <w:r>
        <w:rPr/>
        <w:t>The measured 3.56–4.98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speedup reflects PyTorch eager-mode prototypes. Custom fused CUDA kernels are required to fully realize the Roofline I/O bound across all models and context lengths.</w:t>
      </w:r>
      <w:bookmarkEnd w:id="61"/>
    </w:p>
    <w:p>
      <w:pPr>
        <w:pStyle w:val="Heading4"/>
        <w:rPr/>
      </w:pPr>
      <w:bookmarkStart w:id="62" w:name="model-scale."/>
      <w:r>
        <w:rPr/>
        <w:t>Model scale.</w:t>
      </w:r>
    </w:p>
    <w:p>
      <w:pPr>
        <w:pStyle w:val="FirstParagraph"/>
        <w:rPr/>
      </w:pPr>
      <w:r>
        <w:rPr/>
        <w:t>Primary evaluation targets the 0.5B–3B parameter range. Techniques are architecture-agnostic and scale-independent; validation on 7B+ models requires multi-GPU or quantized inference pipelines beyond the current single-GPU harness and is deferred.</w:t>
      </w:r>
      <w:bookmarkEnd w:id="62"/>
    </w:p>
    <w:p>
      <w:pPr>
        <w:pStyle w:val="Heading4"/>
        <w:rPr/>
      </w:pPr>
      <w:bookmarkStart w:id="63" w:name="Xb347388ca52091b2686090c0021d530ec8a4327"/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HeadDeactivate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StateCompress empirical maturity.</w:t>
      </w:r>
    </w:p>
    <w:p>
      <w:pPr>
        <w:pStyle w:val="FirstParagraph"/>
        <w:rPr/>
      </w:pPr>
      <w:r>
        <w:rPr/>
        <w:t>Both primitives are fully mathematically specified and implemented with production-quality tensor code in the Infernix Engine. Initial scaling traces confirm bounded perplexity profiles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  <w:r>
        <w:rPr/>
        <w:t xml:space="preserve"> degradation). Full empirical tables including the PPL-vs-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curve for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HeadDeactivate and the per-tier PPL-vs-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γ</m:t>
        </m:r>
      </m:oMath>
      <w:r>
        <w:rPr/>
        <w:t xml:space="preserve"> curve for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StateCompress will accompany the camera-ready revision.</w:t>
      </w:r>
      <w:bookmarkEnd w:id="63"/>
    </w:p>
    <w:p>
      <w:pPr>
        <w:pStyle w:val="Heading4"/>
        <w:rPr/>
      </w:pPr>
      <w:bookmarkStart w:id="64" w:name="proxy-delta-correlation-gap."/>
      <w:r>
        <w:rPr/>
        <w:t>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correlation gap.</w:t>
      </w:r>
    </w:p>
    <w:p>
      <w:pPr>
        <w:pStyle w:val="FirstParagraph"/>
        <w:rPr/>
      </w:pPr>
      <w:r>
        <w:rPr/>
        <w:t xml:space="preserve">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 gap between native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0.5232</m:t>
        </m:r>
      </m:oMath>
      <w:r>
        <w:rPr/>
        <w:t>) and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0.3346</m:t>
        </m:r>
      </m:oMath>
      <w:r>
        <w:rPr/>
        <w:t>) reflects the informational advantage of a learned selectivity gate. NDPA closes part of this gap at inference time via the rank-1 least-squares rectifier; future work will explore end-to-end learned Proxy-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projections that close the gap further without retraining.</w:t>
      </w:r>
      <w:bookmarkEnd w:id="64"/>
    </w:p>
    <w:p>
      <w:pPr>
        <w:pStyle w:val="Heading4"/>
        <w:rPr/>
      </w:pPr>
      <w:bookmarkStart w:id="65" w:name="mpsr-training-requirement."/>
      <w:r>
        <w:rPr/>
        <w:t>MPSR training requirement.</w:t>
      </w:r>
    </w:p>
    <w:p>
      <w:pPr>
        <w:pStyle w:val="FirstParagraph"/>
        <w:rPr/>
      </w:pPr>
      <w:r>
        <w:rPr/>
        <w:t xml:space="preserve">Full MPSR effectiveness requires training the projection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ϕ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→</m:t>
        </m:r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/>
        <w:t>. The current implementation uses an orthogonal-projection surrogate at inference time, which approximates but does not match the learned form. Quantifying the gap requires training, which is beyond the scope of this work.</w:t>
      </w:r>
      <w:bookmarkEnd w:id="65"/>
    </w:p>
    <w:p>
      <w:pPr>
        <w:pStyle w:val="Heading4"/>
        <w:rPr/>
      </w:pPr>
      <w:bookmarkStart w:id="66" w:name="moe-validation."/>
      <w:r>
        <w:rPr/>
        <w:t>MoE validation.</w:t>
      </w:r>
    </w:p>
    <w:p>
      <w:pPr>
        <w:pStyle w:val="FirstParagraph"/>
        <w:rPr/>
      </w:pPr>
      <w:r>
        <w:rPr/>
        <w:t xml:space="preserve">The Router-Gated Importance Signal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 xml:space="preserve"> is validated with initial traces on OLMoE-1B-7B. Full scaling across Mixtral and DeepSeek-V2 is deferred to camera-ready.</w:t>
      </w:r>
      <w:bookmarkEnd w:id="66"/>
    </w:p>
    <w:p>
      <w:pPr>
        <w:pStyle w:val="Heading4"/>
        <w:rPr/>
      </w:pPr>
      <w:bookmarkStart w:id="67" w:name="bitsandbytes-vs.-gguf."/>
      <w:r>
        <w:rPr/>
        <w:t>BitsAndBytes vs. GGUF.</w:t>
      </w:r>
    </w:p>
    <w:p>
      <w:pPr>
        <w:pStyle w:val="FirstParagraph"/>
        <w:rPr/>
      </w:pPr>
      <w:r>
        <w:rPr/>
        <w:t>All evaluations use bitsandbytes INT4 (NF4 + double-quant). GGUF-quantized models loaded via llama.cpp are excluded, as hook insertion for telemetry requires HuggingFace-formatted weights. Cross-format consistency is a known gap.</w:t>
      </w:r>
      <w:bookmarkEnd w:id="67"/>
    </w:p>
    <w:p>
      <w:pPr>
        <w:pStyle w:val="Heading4"/>
        <w:rPr/>
      </w:pPr>
      <w:bookmarkStart w:id="68" w:name="future-directions."/>
      <w:r>
        <w:rPr/>
        <w:t>Future directions.</w:t>
      </w:r>
    </w:p>
    <w:p>
      <w:pPr>
        <w:pStyle w:val="FirstParagraph"/>
        <w:rPr/>
      </w:pPr>
      <w:r>
        <w:rPr/>
        <w:t xml:space="preserve">Two natural extensions: (1)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-guided dynamic precision—using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to select the quantization level per token, reducing precision further in low-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regimes; and (2) cross-layer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propagation, 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at layer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 informs compute allocation at layers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l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k</m:t>
        </m:r>
      </m:oMath>
      <w:r>
        <w:rPr/>
        <w:t xml:space="preserve"> via a recurrent budget controller.</w:t>
      </w:r>
      <w:bookmarkEnd w:id="60"/>
      <w:bookmarkEnd w:id="68"/>
    </w:p>
    <w:p>
      <w:pPr>
        <w:pStyle w:val="Heading1"/>
        <w:rPr/>
      </w:pPr>
      <w:bookmarkStart w:id="69" w:name="sec%3Aconclusion"/>
      <w:r>
        <w:rPr/>
        <w:t>Conclusion</w:t>
      </w:r>
    </w:p>
    <w:p>
      <w:pPr>
        <w:pStyle w:val="FirstParagraph"/>
        <w:rPr/>
      </w:pPr>
      <w:r>
        <w:rPr/>
        <w:t xml:space="preserve">We presented OpusEdge, an end-to-end dynamic compute allocation framework for dense, MoE, and hybrid SSM-attention inference. By harvesting the native selectivity parameter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 in hybrid models and its computationally analogous proxy (RMS hidden-state drift) in dense models, and by introducing the Router-Gated Importance Signal for MoE architectures, OpusEdge orchestrates ten composable primitives across memory, routing, and conditional computation without any retraining. Four novel architectural stabilizers (MPSR, EB-AR, CASP+NDPA, CSA/IPSS) prevent information loss under aggressive compute reduction.</w:t>
      </w:r>
    </w:p>
    <w:p>
      <w:pPr>
        <w:pStyle w:val="BodyText"/>
        <w:rPr/>
      </w:pPr>
      <w:r>
        <w:rPr/>
        <w:t>Empirically, SelKV achieves a 100.5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quality advantage over random eviction at 87.5% KV cache compression; DenseEvic achieves 13.7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on dense models; SMSA achieves 3.56–4.98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measured attention speedup at 2,048 tokens with 96.9% VRAM reduction;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StateCompress delivers 37.5% hidden-state compression with near-zero perplexity degradation. The framework is implemented in the Infernix Engine, requires no retraining, is hardware-agnostic, and runs entirely on a single consumer GPU. The central finding—that 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-guided eviction framework produces nearly identical quality retention ratios (13.0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 xml:space="preserve"> vs. 13.7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×</m:t>
        </m:r>
      </m:oMath>
      <w:r>
        <w:rPr/>
        <w:t>) across fundamentally different architecture families—confirms that OpusEdge’s effectiveness depends on the eviction mechanism, not on architecture-specific properties, providing a principled and extensible path toward universal mobile frontier AI.</w:t>
      </w:r>
    </w:p>
    <w:p>
      <w:pPr>
        <w:pStyle w:val="BodyText"/>
        <w:rPr/>
      </w:pPr>
      <w:r>
        <w:rPr/>
        <w:t>99</w:t>
      </w:r>
    </w:p>
    <w:p>
      <w:pPr>
        <w:pStyle w:val="BodyText"/>
        <w:rPr/>
      </w:pPr>
      <w:r>
        <w:rPr/>
        <w:t xml:space="preserve">Dao, T. and Gu, A. (2024). Transformers are SSMs: Generalized models and efficient algorithms through structured state space duality. </w:t>
      </w:r>
      <w:r>
        <w:rPr>
          <w:i/>
          <w:iCs/>
        </w:rPr>
        <w:t>ICML 2024</w:t>
      </w:r>
      <w:r>
        <w:rPr/>
        <w:t xml:space="preserve">. </w:t>
      </w:r>
      <w:r>
        <w:rPr>
          <w:rStyle w:val="VerbatimChar"/>
        </w:rPr>
        <w:t>arXiv:2405.21060</w:t>
      </w:r>
      <w:r>
        <w:rPr/>
        <w:t>.</w:t>
      </w:r>
    </w:p>
    <w:p>
      <w:pPr>
        <w:pStyle w:val="BodyText"/>
        <w:rPr/>
      </w:pPr>
      <w:r>
        <w:rPr/>
        <w:t xml:space="preserve">Gu, A. and Dao, T. (2023). Mamba: Linear-time sequence modeling with selective state spaces. </w:t>
      </w:r>
      <w:r>
        <w:rPr>
          <w:rStyle w:val="VerbatimChar"/>
        </w:rPr>
        <w:t>arXiv:2312.00752</w:t>
      </w:r>
      <w:r>
        <w:rPr/>
        <w:t>.</w:t>
      </w:r>
    </w:p>
    <w:p>
      <w:pPr>
        <w:pStyle w:val="BodyText"/>
        <w:rPr/>
      </w:pPr>
      <w:r>
        <w:rPr/>
        <w:t xml:space="preserve">Falcon LLM Team, Technology Innovation Institute (2025). Falcon-H1: A family of hybrid language models. </w:t>
      </w:r>
      <w:r>
        <w:rPr>
          <w:rStyle w:val="VerbatimChar"/>
        </w:rPr>
        <w:t>arXiv:2507.22448</w:t>
      </w:r>
      <w:r>
        <w:rPr/>
        <w:t>.</w:t>
      </w:r>
    </w:p>
    <w:p>
      <w:pPr>
        <w:pStyle w:val="BodyText"/>
        <w:rPr/>
      </w:pPr>
      <w:r>
        <w:rPr/>
        <w:t xml:space="preserve">Lieber, O., et al. (2024). Jamba: A hybrid Transformer-Mamba language model. </w:t>
      </w:r>
      <w:r>
        <w:rPr>
          <w:rStyle w:val="VerbatimChar"/>
        </w:rPr>
        <w:t>arXiv:2403.19887</w:t>
      </w:r>
      <w:r>
        <w:rPr/>
        <w:t>.</w:t>
      </w:r>
    </w:p>
    <w:p>
      <w:pPr>
        <w:pStyle w:val="BodyText"/>
        <w:rPr/>
      </w:pPr>
      <w:r>
        <w:rPr/>
        <w:t>Zhang, Z., et al. (2023). H</w:t>
      </w:r>
      <w:r>
        <w:rPr/>
      </w:r>
      <m:oMath xmlns:m="http://schemas.openxmlformats.org/officeDocument/2006/math">
        <m:sSub>
          <m:e/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O: Heavy-hitter oracle for efficient generative inference of large language models. </w:t>
      </w:r>
      <w:r>
        <w:rPr>
          <w:i/>
          <w:iCs/>
        </w:rPr>
        <w:t>NeurIPS 2023</w:t>
      </w:r>
      <w:r>
        <w:rPr/>
        <w:t xml:space="preserve">. </w:t>
      </w:r>
      <w:r>
        <w:rPr>
          <w:rStyle w:val="VerbatimChar"/>
        </w:rPr>
        <w:t>arXiv:2306.14048</w:t>
      </w:r>
      <w:r>
        <w:rPr/>
        <w:t>.</w:t>
      </w:r>
    </w:p>
    <w:p>
      <w:pPr>
        <w:pStyle w:val="BodyText"/>
        <w:rPr/>
      </w:pPr>
      <w:r>
        <w:rPr/>
        <w:t xml:space="preserve">Chen, C., et al. (2024). SAGE-KV: Token importance-based KV cache eviction for efficient long-context LLM inference. </w:t>
      </w:r>
      <w:r>
        <w:rPr>
          <w:rStyle w:val="VerbatimChar"/>
        </w:rPr>
        <w:t>arXiv:2410.02252</w:t>
      </w:r>
      <w:r>
        <w:rPr/>
        <w:t>.</w:t>
      </w:r>
    </w:p>
    <w:p>
      <w:pPr>
        <w:pStyle w:val="BodyText"/>
        <w:rPr/>
      </w:pPr>
      <w:r>
        <w:rPr/>
        <w:t xml:space="preserve">Wang, Y., et al. (2024). Ada-KV: Optimizing KV cache eviction by adaptive budget allocation for efficient LLM inference. </w:t>
      </w:r>
      <w:r>
        <w:rPr>
          <w:rStyle w:val="VerbatimChar"/>
        </w:rPr>
        <w:t>arXiv:2407.11550</w:t>
      </w:r>
      <w:r>
        <w:rPr/>
        <w:t>.</w:t>
      </w:r>
    </w:p>
    <w:p>
      <w:pPr>
        <w:pStyle w:val="BodyText"/>
        <w:rPr/>
      </w:pPr>
      <w:r>
        <w:rPr/>
        <w:t xml:space="preserve">Kwon, W., et al. (2023). Efficient memory management for large language model serving with PagedAttention. </w:t>
      </w:r>
      <w:r>
        <w:rPr>
          <w:i/>
          <w:iCs/>
        </w:rPr>
        <w:t>SOSP 2023</w:t>
      </w:r>
      <w:r>
        <w:rPr/>
        <w:t xml:space="preserve">. </w:t>
      </w:r>
      <w:r>
        <w:rPr>
          <w:rStyle w:val="VerbatimChar"/>
        </w:rPr>
        <w:t>arXiv:2309.06180</w:t>
      </w:r>
      <w:r>
        <w:rPr/>
        <w:t>.</w:t>
      </w:r>
    </w:p>
    <w:p>
      <w:pPr>
        <w:pStyle w:val="BodyText"/>
        <w:rPr/>
      </w:pPr>
      <w:r>
        <w:rPr/>
        <w:t xml:space="preserve">Jiang, A.Q., et al. (2024). Mixtral of experts. </w:t>
      </w:r>
      <w:r>
        <w:rPr>
          <w:rStyle w:val="VerbatimChar"/>
        </w:rPr>
        <w:t>arXiv:2401.04088</w:t>
      </w:r>
      <w:r>
        <w:rPr/>
        <w:t>.</w:t>
      </w:r>
    </w:p>
    <w:p>
      <w:pPr>
        <w:pStyle w:val="BodyText"/>
        <w:rPr/>
      </w:pPr>
      <w:r>
        <w:rPr/>
        <w:t xml:space="preserve">Muennighoff, N., et al. (2024). OLMoE: Open mixture-of-experts language models. </w:t>
      </w:r>
      <w:r>
        <w:rPr>
          <w:rStyle w:val="VerbatimChar"/>
        </w:rPr>
        <w:t>arXiv:2409.02060</w:t>
      </w:r>
      <w:r>
        <w:rPr/>
        <w:t>.</w:t>
      </w:r>
    </w:p>
    <w:p>
      <w:pPr>
        <w:pStyle w:val="BodyText"/>
        <w:rPr/>
      </w:pPr>
      <w:r>
        <w:rPr/>
        <w:t xml:space="preserve">Qwen Team (2024). Qwen2.5 technical report. </w:t>
      </w:r>
      <w:r>
        <w:rPr>
          <w:rStyle w:val="VerbatimChar"/>
        </w:rPr>
        <w:t>arXiv:2412.15115</w:t>
      </w:r>
      <w:r>
        <w:rPr/>
        <w:t>.</w:t>
      </w:r>
    </w:p>
    <w:p>
      <w:pPr>
        <w:pStyle w:val="BodyText"/>
        <w:rPr/>
      </w:pPr>
      <w:r>
        <w:rPr/>
        <w:t xml:space="preserve">Meta AI (2024). The Llama 3 herd of models. </w:t>
      </w:r>
      <w:r>
        <w:rPr>
          <w:rStyle w:val="VerbatimChar"/>
        </w:rPr>
        <w:t>arXiv:2407.21783</w:t>
      </w:r>
      <w:r>
        <w:rPr/>
        <w:t>.</w:t>
      </w:r>
    </w:p>
    <w:p>
      <w:pPr>
        <w:pStyle w:val="BodyText"/>
        <w:rPr/>
      </w:pPr>
      <w:r>
        <w:rPr/>
        <w:t xml:space="preserve">DeepSeek-AI (2024). DeepSeek-V2: A strong, economical, and efficient mixture-of-experts language model. </w:t>
      </w:r>
      <w:r>
        <w:rPr>
          <w:rStyle w:val="VerbatimChar"/>
        </w:rPr>
        <w:t>arXiv:2405.04434</w:t>
      </w:r>
      <w:r>
        <w:rPr/>
        <w:t>.</w:t>
      </w:r>
    </w:p>
    <w:p>
      <w:pPr>
        <w:pStyle w:val="BodyText"/>
        <w:rPr/>
      </w:pPr>
      <w:r>
        <w:rPr/>
        <w:t xml:space="preserve">Schuster, T., et al. (2022). Confident adaptive language modeling. </w:t>
      </w:r>
      <w:r>
        <w:rPr>
          <w:i/>
          <w:iCs/>
        </w:rPr>
        <w:t>NeurIPS 2022</w:t>
      </w:r>
      <w:r>
        <w:rPr/>
        <w:t xml:space="preserve">. </w:t>
      </w:r>
      <w:r>
        <w:rPr>
          <w:rStyle w:val="VerbatimChar"/>
        </w:rPr>
        <w:t>arXiv:2207.07061</w:t>
      </w:r>
      <w:r>
        <w:rPr/>
        <w:t>.</w:t>
      </w:r>
    </w:p>
    <w:p>
      <w:pPr>
        <w:pStyle w:val="BodyText"/>
        <w:rPr/>
      </w:pPr>
      <w:r>
        <w:rPr/>
        <w:t xml:space="preserve">Bolya, D., et al. (2023). Token merging: Your ViT but faster. </w:t>
      </w:r>
      <w:r>
        <w:rPr>
          <w:i/>
          <w:iCs/>
        </w:rPr>
        <w:t>ICLR 2023</w:t>
      </w:r>
      <w:r>
        <w:rPr/>
        <w:t xml:space="preserve">. </w:t>
      </w:r>
      <w:r>
        <w:rPr>
          <w:rStyle w:val="VerbatimChar"/>
        </w:rPr>
        <w:t>arXiv:2210.09461</w:t>
      </w:r>
      <w:r>
        <w:rPr/>
        <w:t>.</w:t>
      </w:r>
    </w:p>
    <w:p>
      <w:pPr>
        <w:pStyle w:val="BodyText"/>
        <w:spacing w:before="180" w:after="180"/>
        <w:rPr/>
      </w:pPr>
      <w:r>
        <w:rPr/>
        <w:t xml:space="preserve">Leviathan, Y., et al. (2023). Fast inference from transformers via speculative decoding. </w:t>
      </w:r>
      <w:r>
        <w:rPr>
          <w:i/>
          <w:iCs/>
        </w:rPr>
        <w:t>ICML 2023</w:t>
      </w:r>
      <w:r>
        <w:rPr/>
        <w:t xml:space="preserve">. </w:t>
      </w:r>
      <w:r>
        <w:rPr>
          <w:rStyle w:val="VerbatimChar"/>
        </w:rPr>
        <w:t>arXiv:2211.17192</w:t>
      </w:r>
      <w:r>
        <w:rPr/>
        <w:t>.</w:t>
      </w:r>
      <w:bookmarkEnd w:id="69"/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Correspondence: </w:t>
      </w:r>
      <w:r>
        <w:rPr>
          <w:rStyle w:val="VerbatimChar"/>
        </w:rPr>
        <w:t>irfanmahir@infernix.dev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LibreOffice/26.2.4.2$Linux_X86_64 LibreOffice_project/620$Build-2</Application>
  <AppVersion>15.0000</AppVersion>
  <Pages>27</Pages>
  <Words>5710</Words>
  <Characters>35509</Characters>
  <CharactersWithSpaces>40783</CharactersWithSpaces>
  <Paragraphs>604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2026-06-24T09:03:54Z</dcterms:created>
  <dc:creator>Irfan Mahir Furylogic Labs / Independent Researcher, Bangladesh Research conducted under the Infernix Inference Engine Project</dc:creator>
  <dc:description/>
  <dc:language>en-US</dc:language>
  <cp:lastModifiedBy/>
  <dcterms:modified xsi:type="dcterms:W3CDTF">2026-06-24T15:23:50Z</dcterms:modified>
  <cp:revision>1</cp:revision>
  <dc:subject/>
  <dc:title>OpusEdge: Telemetry-Guided Dynamic Compute Allocation for Dense, Mixture-of-Experts, and Hybrid SSM-Attention Architectures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Deploying large language models on resource-constrained hardware remains impractical due to the quadratic cost of attention and the memory demands of key-value (KV) caches, yet existing optimization pipelines treat dense, hybrid SSM-attention, and sparse mixture-of-experts (MoE) architectures as disjoint problems requiring separate solutions. We present OpusEdge, a unified telemetry-guided framework that exploits per-token importance signals—the native SSM selectivity parameter \Delta_t (O(1) cost in hybrid models), the RMS hidden-state drift Proxy-\Delta (O(L) cost in dense models), and the Router-Gated Importance Signal I_R (MoE models)—to orchestrate ten composable inference primitives and four novel architectural stabilizers across all three architecture families without any gradient retraining. Empirically, SelKV achieves a 100.5\times quality advantage over random eviction at 87.5% KV cache compression on Falcon-H1-0.5B; DenseEvic achieves 13.7\times on Qwen2.5-0.5B via Proxy-\Delta; SMSA yields 3.56–4.98\times measured attention speedup at 2,048 tokens; and \DeltaStateCompress delivers 37.5% hidden-state compression with near-zero perplexity degradation, while the native \Delta and Proxy-\Delta signals achieve mean Spearman \rho = {+}0.5232 and \rho = {+}0.3346 correlation with token importance across 24 diverse tasks. All experiments are reproducible on a single NVIDIA RTX 4060 (8 GB VRAM) using publicly available models; code is available at the Infernix Engine repository.</vt:lpwstr>
  </property>
  <property fmtid="{D5CDD505-2E9C-101B-9397-08002B2CF9AE}" pid="3" name="date">
    <vt:lpwstr>June 2026</vt:lpwstr>
  </property>
</Properties>
</file>