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TSC-Fusion：热盐结构谱域与3D集成学习
用于海洋温盐预测</w:t>
      </w:r>
    </w:p>
    <w:p>
      <w:pPr>
        <w:spacing w:after="100"/>
        <w:jc w:val="center"/>
      </w:pPr>
      <w:r>
        <w:rPr>
          <w:rFonts w:ascii="Arial" w:cs="Arial" w:eastAsia="Arial" w:hAnsi="Arial"/>
          <w:sz w:val="24"/>
          <w:szCs w:val="24"/>
        </w:rPr>
        <w:t xml:space="preserve">杨盛翔¹，周志博¹，张效逸¹，刘宇晨¹，林世明¹,²,³</w:t>
      </w:r>
    </w:p>
    <w:p>
      <w:pPr>
        <w:spacing w:after="300"/>
        <w:jc w:val="center"/>
      </w:pPr>
      <w:r>
        <w:rPr>
          <w:rFonts w:ascii="Arial" w:cs="Arial" w:eastAsia="Arial" w:hAnsi="Arial"/>
          <w:sz w:val="20"/>
          <w:szCs w:val="20"/>
        </w:rPr>
        <w:t xml:space="preserve">1. 厦门大学信息学院，厦门
2. 昌吉学院信息工程学院，昌吉
3. 自然资源部东南海岸海洋信息智能感知与应用重点实验室，漳州
通讯作者：xmulsm@xmu.edu.cn</w:t>
      </w:r>
    </w:p>
    <w:p>
      <w:pPr>
        <w:pStyle w:val="Heading1"/>
      </w:pPr>
      <w:r>
        <w:rPr>
          <w:rFonts w:ascii="Arial" w:cs="Arial" w:eastAsia="Arial" w:hAnsi="Arial"/>
          <w:b/>
          <w:bCs/>
          <w:sz w:val="28"/>
          <w:szCs w:val="28"/>
        </w:rPr>
        <w:t xml:space="preserve">摘要</w:t>
      </w:r>
    </w:p>
    <w:p>
      <w:pPr>
        <w:spacing w:after="100"/>
      </w:pPr>
      <w:r>
        <w:rPr>
          <w:rFonts w:ascii="Arial" w:cs="Arial" w:eastAsia="Arial" w:hAnsi="Arial"/>
          <w:sz w:val="22"/>
          <w:szCs w:val="22"/>
        </w:rPr>
        <w:t xml:space="preserve">高精度三维温盐场预测对于理解次表层热盐动态至关重要，但由于耦合的物理信号跨越不同空间和时间尺度，这一任务仍具挑战性。本文提出TSC-Fusion，一种热盐结构融合网络，集成了四个互补建模分支：热盐结构坐标（TSC）记忆模块，通过学到的水团原型路由水柱剖面；全局谱域低模态混合器，通过傅里叶域学习捕捉盆地尺度遥相关；3D时空结构分支保持垂直连贯性；以及门控集成头，通过空间自适应成员加权稳定多步预测。模型在20轮评估协议下于西太平洋区域与TianHai、FuXi-Ocean、FuXi-ONS和AxiomOcean的复现版本进行对比。TSC-Fusion在两个变量上均取得最优结果：温度RMSE 0.1013°C（MAE 0.0687，R² 0.9898），盐度RMSE 0.3689 PSU（MAE 0.2317，R² 0.8795）。消融实验分析各组分的相对作用，TEOS-10导出的物理诊断进一步确认预测场保持了有意义的温盐耦合。</w:t>
      </w:r>
    </w:p>
    <w:p>
      <w:pPr>
        <w:spacing w:after="200"/>
      </w:pPr>
      <w:r>
        <w:rPr>
          <w:rFonts w:ascii="Arial" w:cs="Arial" w:eastAsia="Arial" w:hAnsi="Arial"/>
          <w:b/>
          <w:bCs/>
          <w:sz w:val="22"/>
          <w:szCs w:val="22"/>
        </w:rPr>
        <w:t xml:space="preserve">关键词：</w:t>
      </w:r>
      <w:r>
        <w:rPr>
          <w:rFonts w:ascii="Arial" w:cs="Arial" w:eastAsia="Arial" w:hAnsi="Arial"/>
          <w:sz w:val="22"/>
          <w:szCs w:val="22"/>
        </w:rPr>
        <w:t xml:space="preserve">海洋预测；温盐场；热盐结构；谱域学习；3D时空建模；集成融合</w:t>
      </w:r>
    </w:p>
    <w:p>
      <w:pPr>
        <w:pStyle w:val="Heading1"/>
      </w:pPr>
      <w:r>
        <w:rPr>
          <w:rFonts w:ascii="Arial" w:cs="Arial" w:eastAsia="Arial" w:hAnsi="Arial"/>
          <w:b/>
          <w:bCs/>
          <w:sz w:val="28"/>
          <w:szCs w:val="28"/>
        </w:rPr>
        <w:t xml:space="preserve">1 引言</w:t>
      </w:r>
    </w:p>
    <w:p>
      <w:pPr>
        <w:spacing w:after="100"/>
      </w:pPr>
      <w:r>
        <w:rPr>
          <w:rFonts w:ascii="Arial" w:cs="Arial" w:eastAsia="Arial" w:hAnsi="Arial"/>
          <w:sz w:val="22"/>
          <w:szCs w:val="22"/>
        </w:rPr>
        <w:t xml:space="preserve">海洋温度和盐度场编码了上层海洋的物理状态，直接影响声传播、渔业资源、生态系统响应和气候调节。在实践中，这些场必须从异构观测——稀疏的现场剖面、遥感海表状态和大气强迫——中推断。本文将这一设定研究为时空预测问题：给定历史多源海洋状态，预测未来三维温度和盐度场。</w:t>
      </w:r>
    </w:p>
    <w:p>
      <w:pPr>
        <w:spacing w:after="100"/>
      </w:pPr>
      <w:r>
        <w:rPr>
          <w:rFonts w:ascii="Arial" w:cs="Arial" w:eastAsia="Arial" w:hAnsi="Arial"/>
          <w:sz w:val="22"/>
          <w:szCs w:val="22"/>
        </w:rPr>
        <w:t xml:space="preserve">核心困难在于温度和盐度由不同尺度上的不同物理过程塑造。温度受纬度、层结和季节性加热的强烈控制，产生平滑的大尺度梯度。盐度更具局地性——受降水、径流、海洋环流和水团混合的影响——常呈现尖锐锋面和次表层极值。海面高度异常和风场提供动态背景，但它们在不同的网格上观测并携带不同的噪声特征。一个有用的预测方法必须解决三个关联问题：多物理变量联合建模、多尺度时空现象识别、以及对未见时段的稳健泛化。</w:t>
      </w:r>
    </w:p>
    <w:p>
      <w:pPr>
        <w:spacing w:after="100"/>
      </w:pPr>
      <w:r>
        <w:rPr>
          <w:rFonts w:ascii="Arial" w:cs="Arial" w:eastAsia="Arial" w:hAnsi="Arial"/>
          <w:sz w:val="22"/>
          <w:szCs w:val="22"/>
        </w:rPr>
        <w:t xml:space="preserve">传统的数值海洋模型如HYCOM和ROMS通过基于物理的方程和坐标系表示环流。它们提供物理一致性，但计算成本高，且依赖强迫、参数化和数据同化选择。深度学习通过从大型观测档案中学习非线性依赖关系提供了补充路线。最近的进展包括在谱表示上运行的全球AI预报模型、用于体积海洋预测的3D时空架构，以及结合多个预报成员以提高稳定性的集成方法。然而，现有工作倾向于孤立地强调某一方面——全局谱建模、3D卷积或集成。海洋预测问题需要一个联合解决水团感知表示、大尺度谱遥相关、3D垂直结构保持和集成稳定的架构。</w:t>
      </w:r>
    </w:p>
    <w:p>
      <w:pPr>
        <w:spacing w:after="100"/>
      </w:pPr>
      <w:r>
        <w:rPr>
          <w:rFonts w:ascii="Arial" w:cs="Arial" w:eastAsia="Arial" w:hAnsi="Arial"/>
          <w:sz w:val="22"/>
          <w:szCs w:val="22"/>
        </w:rPr>
        <w:t xml:space="preserve">我们提出TSC-Fusion，一种热盐结构融合网络，集成了四个互补建模分支。热盐结构坐标（TSC）记忆模块通过将每个水柱剖面软路由到学习到的原型来显式编码水团信息，捕捉定义不同水团的温盐-密度-辛酸关系。全局谱域低模态分支通过在傅里叶域操作学习盆地尺度遥相关，建模控制大尺度梯度的低频模式。3D时空结构分支通过3D卷积在联合变量-时间-纬度-经度立方体上操作来保持垂直连贯性。门控集成头产生多个预报成员并通过空间自适应权重融合它们，降低单头预测的方差。</w:t>
      </w:r>
    </w:p>
    <w:p>
      <w:pPr>
        <w:spacing w:after="100"/>
      </w:pPr>
      <w:r>
        <w:rPr>
          <w:rFonts w:ascii="Arial" w:cs="Arial" w:eastAsia="Arial" w:hAnsi="Arial"/>
          <w:sz w:val="22"/>
          <w:szCs w:val="22"/>
        </w:rPr>
        <w:t xml:space="preserve">我们的贡献有四点：(1) 首次提出TSC-Fusion，一种显式将水团记忆融入深度海洋预测的热盐结构融合网络。(2) 我们在统一架构中结合了全局谱域低模态学习、3D时空结构建模和门控集成融合，每个分支针对海洋系统的不同物理方面。(3) 我们在20轮评估协议下将TSC-Fusion与TianHai、FuXi-Ocean、FuXi-ONS和AxiomOcean的复现版本进行对比。TSC-Fusion在温度和盐度预测上均排名第一。(4) 我们进行消融实验，考察TSC记忆、谱域分支、3D结构分支、集成门控和热盐变量输入的相对作用。</w:t>
      </w:r>
    </w:p>
    <w:p>
      <w:pPr>
        <w:pStyle w:val="Heading1"/>
      </w:pPr>
      <w:r>
        <w:rPr>
          <w:rFonts w:ascii="Arial" w:cs="Arial" w:eastAsia="Arial" w:hAnsi="Arial"/>
          <w:b/>
          <w:bCs/>
          <w:sz w:val="28"/>
          <w:szCs w:val="28"/>
        </w:rPr>
        <w:t xml:space="preserve">2 相关工作</w:t>
      </w:r>
    </w:p>
    <w:p>
      <w:pPr>
        <w:pStyle w:val="Heading2"/>
      </w:pPr>
      <w:r>
        <w:rPr>
          <w:rFonts w:ascii="Arial" w:cs="Arial" w:eastAsia="Arial" w:hAnsi="Arial"/>
          <w:b/>
          <w:bCs/>
          <w:sz w:val="24"/>
          <w:szCs w:val="24"/>
        </w:rPr>
        <w:t xml:space="preserve">2.1 数值与数据驱动海洋建模</w:t>
      </w:r>
    </w:p>
    <w:p>
      <w:pPr>
        <w:spacing w:after="100"/>
      </w:pPr>
      <w:r>
        <w:rPr>
          <w:rFonts w:ascii="Arial" w:cs="Arial" w:eastAsia="Arial" w:hAnsi="Arial"/>
          <w:sz w:val="22"/>
          <w:szCs w:val="22"/>
        </w:rPr>
        <w:t xml:space="preserve">数值海洋模型在结构化网格上离散控制方程和物理约束。混合坐标模型改进了混合层和层结区域的垂直表示，而区域模型如ROMS广泛用于海平面和环流研究。这些方法提供物理一致性，但运行成本高，难以快速进行多场景探索。</w:t>
      </w:r>
    </w:p>
    <w:p>
      <w:pPr>
        <w:spacing w:after="100"/>
      </w:pPr>
      <w:r>
        <w:rPr>
          <w:rFonts w:ascii="Arial" w:cs="Arial" w:eastAsia="Arial" w:hAnsi="Arial"/>
          <w:sz w:val="22"/>
          <w:szCs w:val="22"/>
        </w:rPr>
        <w:t xml:space="preserve">机器学习方法已被应用于海表温度、海洋热浪和三维温盐预测。基于LSTM的剖面模型处理小样本海洋环境中的时间依赖，遥感驱动的ConvLSTM模型从海表观测反演次表层温度。WenHai采用混合物理-AI方法，使用Swin-Transformer进行全球涡解析海洋预报；GLONET提供可操作端到端神经全球海洋预报系统；TianHai将U-Net与注意力机制结合用于3D海洋预报。这些研究展示了数据驱动方法的实用性，但大多数侧重于单一架构范式，而非系统性地组合互补的物理建模策略。</w:t>
      </w:r>
    </w:p>
    <w:p>
      <w:pPr>
        <w:pStyle w:val="Heading2"/>
      </w:pPr>
      <w:r>
        <w:rPr>
          <w:rFonts w:ascii="Arial" w:cs="Arial" w:eastAsia="Arial" w:hAnsi="Arial"/>
          <w:b/>
          <w:bCs/>
          <w:sz w:val="24"/>
          <w:szCs w:val="24"/>
        </w:rPr>
        <w:t xml:space="preserve">2.2 谱域与全球海洋预测</w:t>
      </w:r>
    </w:p>
    <w:p>
      <w:pPr>
        <w:spacing w:after="100"/>
      </w:pPr>
      <w:r>
        <w:rPr>
          <w:rFonts w:ascii="Arial" w:cs="Arial" w:eastAsia="Arial" w:hAnsi="Arial"/>
          <w:sz w:val="22"/>
          <w:szCs w:val="22"/>
        </w:rPr>
        <w:t xml:space="preserve">谱表示在大气和海洋建模中越来越受关注，因为它们自然地捕捉大尺度模式，避免了卷积架构的局部感受野限制。FourCastNet使用自适应傅里叶神经算子进行全球天气预报。FuXi应用级联Transformer架构在ERA5上训练用于中期天气预报。Pangu-Weather展示了3D地球特定Transformer可以达到竞争性的预报技能。在海洋领域，FuXi-Ocean通过纳入海洋特定变量和垂直结构调整了这些原理。这些模型表明，谱域和全局注意力机制可以捕捉局部卷积架构难以处理的盆地尺度遥相关和大尺度梯度。我们的谱域分支受此启发：我们应用学到的傅里叶域混合来从时空输入中提取低频全局模式，与局部卷积分支互补。</w:t>
      </w:r>
    </w:p>
    <w:p>
      <w:pPr>
        <w:pStyle w:val="Heading2"/>
      </w:pPr>
      <w:r>
        <w:rPr>
          <w:rFonts w:ascii="Arial" w:cs="Arial" w:eastAsia="Arial" w:hAnsi="Arial"/>
          <w:b/>
          <w:bCs/>
          <w:sz w:val="24"/>
          <w:szCs w:val="24"/>
        </w:rPr>
        <w:t xml:space="preserve">2.3 3D时空结构学习</w:t>
      </w:r>
    </w:p>
    <w:p>
      <w:pPr>
        <w:spacing w:after="100"/>
      </w:pPr>
      <w:r>
        <w:rPr>
          <w:rFonts w:ascii="Arial" w:cs="Arial" w:eastAsia="Arial" w:hAnsi="Arial"/>
          <w:sz w:val="22"/>
          <w:szCs w:val="22"/>
        </w:rPr>
        <w:t xml:space="preserve">海洋预测本质上是四维的，涉及多个变量在深度、纬度、经度和时间上的联合演化。3D卷积网络已被证明对体积医学图像分析和视频预测有效。AxiomOcean将此原理应用于海洋预测，通过在变量-时间-纬度-经度立方体上应用3D卷积，使模型能够学习2D架构加通道堆叠无法表示的联合变量-时间-空间交互。我们的3D结构分支遵循此设计：它在TSC增强后的增广时空张量上操作，保持完整的四维结构，而非过早地展平时间或变量维度。</w:t>
      </w:r>
    </w:p>
    <w:p>
      <w:pPr>
        <w:pStyle w:val="Heading2"/>
      </w:pPr>
      <w:r>
        <w:rPr>
          <w:rFonts w:ascii="Arial" w:cs="Arial" w:eastAsia="Arial" w:hAnsi="Arial"/>
          <w:b/>
          <w:bCs/>
          <w:sz w:val="24"/>
          <w:szCs w:val="24"/>
        </w:rPr>
        <w:t xml:space="preserve">2.4 集成与热盐结构</w:t>
      </w:r>
    </w:p>
    <w:p>
      <w:pPr>
        <w:spacing w:after="100"/>
      </w:pPr>
      <w:r>
        <w:rPr>
          <w:rFonts w:ascii="Arial" w:cs="Arial" w:eastAsia="Arial" w:hAnsi="Arial"/>
          <w:sz w:val="22"/>
          <w:szCs w:val="22"/>
        </w:rPr>
        <w:t xml:space="preserve">集成方法通过组合具有不同初始化、架构或加权方案的多个成员来提高预测稳定性。在数值天气预报中，集成预测是量化不确定性的标准做法。FuXi-ONS将此思想扩展到深度学习，通过产生多个预报成员并通过学到的门控机制聚合它们。在海洋学中，水团分析有悠久传统：温盐图和导出量如位温、位密和辛酸被用于识别和跟踪水团。TEOS-10海水热力学方程提供了一致计算这些导出量的标准。我们的TSC记忆模块架起了这两个传统的桥梁：将水团概念用作学到的归纳偏置——剖面被软路由到水团原型，使模型能够显式推理热盐结构。集成门控随后通过空间自适应加权多个预测头来稳定最终预测。</w:t>
      </w:r>
    </w:p>
    <w:p>
      <w:pPr>
        <w:pStyle w:val="Heading1"/>
      </w:pPr>
      <w:r>
        <w:rPr>
          <w:rFonts w:ascii="Arial" w:cs="Arial" w:eastAsia="Arial" w:hAnsi="Arial"/>
          <w:b/>
          <w:bCs/>
          <w:sz w:val="28"/>
          <w:szCs w:val="28"/>
        </w:rPr>
        <w:t xml:space="preserve">3 数据与问题定义</w:t>
      </w:r>
    </w:p>
    <w:p>
      <w:pPr>
        <w:pStyle w:val="Heading2"/>
      </w:pPr>
      <w:r>
        <w:rPr>
          <w:rFonts w:ascii="Arial" w:cs="Arial" w:eastAsia="Arial" w:hAnsi="Arial"/>
          <w:b/>
          <w:bCs/>
          <w:sz w:val="24"/>
          <w:szCs w:val="24"/>
        </w:rPr>
        <w:t xml:space="preserve">3.1 多源海洋数据</w:t>
      </w:r>
    </w:p>
    <w:p>
      <w:pPr>
        <w:spacing w:after="100"/>
      </w:pPr>
      <w:r>
        <w:rPr>
          <w:rFonts w:ascii="Arial" w:cs="Arial" w:eastAsia="Arial" w:hAnsi="Arial"/>
          <w:sz w:val="22"/>
          <w:szCs w:val="22"/>
        </w:rPr>
        <w:t xml:space="preserve">我们构建了一个用于西太平洋温盐预测的多源数据集。目标变量为2005年至2020年的Argo网格化温度（TEMP）和盐度（SALT）剖面。我们额外使用TEOS-10计算了三个热盐导出变量：位温（PTEMP）、位密（PDEN）和辛酸（SPICE）。这些导出变量编码水团身份，用作热盐结构坐标记忆模块的输入。辅助海表变量包括AVISO海面高度异常（SSHA）和CCMP 10米风场分量（UWND和VWND）。研究区域覆盖130.5°E–162.5°E和6.5°N–27.5°N，20个垂直层级从海表到1000米。表I汇总了所有变量。</w:t>
      </w:r>
    </w:p>
    <w:p>
      <w:pPr>
        <w:spacing w:after="100"/>
      </w:pPr>
      <w:r>
        <w:rPr>
          <w:rFonts w:ascii="Arial" w:cs="Arial" w:eastAsia="Arial" w:hAnsi="Arial"/>
          <w:sz w:val="22"/>
          <w:szCs w:val="22"/>
        </w:rPr>
        <w:t xml:space="preserve">所有变量被映射到共同的时空参考系。经度归一化为0°–360°，风场插值到SSHA目标网格上，所有变量作为模型通道与Z-score归一化（仅使用训练集统计）堆叠。缺失值通过分层插补处理：当部分观测存在时使用局部切片均值，当整个切片缺失时使用全局有效均值。</w:t>
      </w:r>
    </w:p>
    <w:p>
      <w:pPr>
        <w:pStyle w:val="Heading2"/>
      </w:pPr>
      <w:r>
        <w:rPr>
          <w:rFonts w:ascii="Arial" w:cs="Arial" w:eastAsia="Arial" w:hAnsi="Arial"/>
          <w:b/>
          <w:bCs/>
          <w:sz w:val="24"/>
          <w:szCs w:val="24"/>
        </w:rPr>
        <w:t xml:space="preserve">3.2 监督序列构建</w:t>
      </w:r>
    </w:p>
    <w:p>
      <w:pPr>
        <w:spacing w:after="100"/>
      </w:pPr>
      <w:r>
        <w:rPr>
          <w:rFonts w:ascii="Arial" w:cs="Arial" w:eastAsia="Arial" w:hAnsi="Arial"/>
          <w:sz w:val="22"/>
          <w:szCs w:val="22"/>
        </w:rPr>
        <w:t xml:space="preserve">设X_t表示第t月的海洋状态，其中D、H、W分别对应深度、纬度和经度，C包含表I所列的物理变量。给定J个历史步，模型预测K个未来温盐场。在我们的实验中，J=12且K=5。目标张量包含TEMP和SALT。</w:t>
      </w:r>
    </w:p>
    <w:p>
      <w:pPr>
        <w:pStyle w:val="Heading2"/>
      </w:pPr>
      <w:r>
        <w:rPr>
          <w:rFonts w:ascii="Arial" w:cs="Arial" w:eastAsia="Arial" w:hAnsi="Arial"/>
          <w:b/>
          <w:bCs/>
          <w:sz w:val="24"/>
          <w:szCs w:val="24"/>
        </w:rPr>
        <w:t xml:space="preserve">3.3 深度感知的3D表示</w:t>
      </w:r>
    </w:p>
    <w:p>
      <w:pPr>
        <w:spacing w:after="100"/>
      </w:pPr>
      <w:r>
        <w:rPr>
          <w:rFonts w:ascii="Arial" w:cs="Arial" w:eastAsia="Arial" w:hAnsi="Arial"/>
          <w:sz w:val="22"/>
          <w:szCs w:val="22"/>
        </w:rPr>
        <w:t xml:space="preserve">深度被处理为一个物理坐标，包含从海表到1000米的20个标准层级。模型接收的是垂直排序的状态张量，而非独立的二维地图。这很重要，因为上层海洋对海表风和热强迫响应迅速，而深层演化更慢并保留更强的记忆。盐度极值和温跃层结构常出现在海表以下，因此仅拟合水平地图的模型可能获得低的逐点误差但丢失垂直水团结构。我们在整个架构中保持深度轴在输入-输出张量中的显式存在。</w:t>
      </w:r>
    </w:p>
    <w:p>
      <w:pPr>
        <w:pStyle w:val="Heading1"/>
      </w:pPr>
      <w:r>
        <w:rPr>
          <w:rFonts w:ascii="Arial" w:cs="Arial" w:eastAsia="Arial" w:hAnsi="Arial"/>
          <w:b/>
          <w:bCs/>
          <w:sz w:val="28"/>
          <w:szCs w:val="28"/>
        </w:rPr>
        <w:t xml:space="preserve">4 方法</w:t>
      </w:r>
    </w:p>
    <w:p>
      <w:pPr>
        <w:pStyle w:val="Heading2"/>
      </w:pPr>
      <w:r>
        <w:rPr>
          <w:rFonts w:ascii="Arial" w:cs="Arial" w:eastAsia="Arial" w:hAnsi="Arial"/>
          <w:b/>
          <w:bCs/>
          <w:sz w:val="24"/>
          <w:szCs w:val="24"/>
        </w:rPr>
        <w:t xml:space="preserve">4.1 框架概览</w:t>
      </w:r>
    </w:p>
    <w:p>
      <w:pPr>
        <w:spacing w:after="100"/>
      </w:pPr>
      <w:r>
        <w:rPr>
          <w:rFonts w:ascii="Arial" w:cs="Arial" w:eastAsia="Arial" w:hAnsi="Arial"/>
          <w:sz w:val="22"/>
          <w:szCs w:val="22"/>
        </w:rPr>
        <w:t xml:space="preserve">TSC-Fusion由四个针对海洋预测不同物理方面的互补分支组成。图1展示了整体架构。首先，热盐结构坐标（TSC）记忆模块从TEMP/SALT/PTEMP/PDEN/SPICE垂直剖面中提取水团感知特征，并用学到的水团上下文增广输入网格。增广后的表示随后由三个并行分支处理：局部分支用于细尺度空间模式，全局谱域低模态分支用于盆地尺度遥相关，3D时空结构分支用于联合变量-时间-空间交互。分支输出被融合，由轻量级Transformer精炼，并送入门控集成预测头。持久性分量提供学到的基线，稳定早期训练。</w:t>
      </w:r>
    </w:p>
    <w:p>
      <w:pPr>
        <w:pStyle w:val="Heading2"/>
      </w:pPr>
      <w:r>
        <w:rPr>
          <w:rFonts w:ascii="Arial" w:cs="Arial" w:eastAsia="Arial" w:hAnsi="Arial"/>
          <w:b/>
          <w:bCs/>
          <w:sz w:val="24"/>
          <w:szCs w:val="24"/>
        </w:rPr>
        <w:t xml:space="preserve">4.2 热盐结构坐标记忆（TSC Memory）</w:t>
      </w:r>
    </w:p>
    <w:p>
      <w:pPr>
        <w:spacing w:after="100"/>
      </w:pPr>
      <w:r>
        <w:rPr>
          <w:rFonts w:ascii="Arial" w:cs="Arial" w:eastAsia="Arial" w:hAnsi="Arial"/>
          <w:sz w:val="22"/>
          <w:szCs w:val="22"/>
        </w:rPr>
        <w:t xml:space="preserve">TSC记忆模块将水团感知引入预测网络。给定每个空间位置的水柱剖面，模块将剖面软路由到一组学到的水团原型，通过轻量级Transformer编码器更新这些原型，并将水团上下文作为额外的特征通道写回欧拉网格。</w:t>
      </w:r>
    </w:p>
    <w:p>
      <w:pPr>
        <w:spacing w:after="100"/>
      </w:pPr>
      <w:r>
        <w:rPr>
          <w:rFonts w:ascii="Arial" w:cs="Arial" w:eastAsia="Arial" w:hAnsi="Arial"/>
          <w:sz w:val="22"/>
          <w:szCs w:val="22"/>
        </w:rPr>
        <w:t xml:space="preserve">令输入张量为X ∈ R^{B×T×C_in×D×H×W}，其中B为批大小，T为序列长度，D为垂直层数，C_in包含热盐变量（TEMP/SALT/PTEMP/PDEN/SPICE）。对每个位于(h,w)的网格列，所有深度上的热盐变量被拼接为p ∈ R^{D·C_tsc}。逐点投影（通过1×1卷积）将p映射到隐藏特征f ∈ R^d，后接GroupNorm和GELU激活。路由器计算对N个水团原型的软分配分数，得到每个空间位置的a ∈ R^N。原型标记被聚集体为所有空间位置上特征的分配加权平均。Transformer编码器通过自注意力更新原型标记，使每个原型能在其他水团原型的上下文中精炼其表示。更新后的原型通过与原始特征混合投影回网格，产生TSC增广特征X_tsc，与原始输入拼接。</w:t>
      </w:r>
    </w:p>
    <w:p>
      <w:pPr>
        <w:pStyle w:val="Heading2"/>
      </w:pPr>
      <w:r>
        <w:rPr>
          <w:rFonts w:ascii="Arial" w:cs="Arial" w:eastAsia="Arial" w:hAnsi="Arial"/>
          <w:b/>
          <w:bCs/>
          <w:sz w:val="24"/>
          <w:szCs w:val="24"/>
        </w:rPr>
        <w:t xml:space="preserve">4.3 局部卷积分支</w:t>
      </w:r>
    </w:p>
    <w:p>
      <w:pPr>
        <w:spacing w:after="100"/>
      </w:pPr>
      <w:r>
        <w:rPr>
          <w:rFonts w:ascii="Arial" w:cs="Arial" w:eastAsia="Arial" w:hAnsi="Arial"/>
          <w:sz w:val="22"/>
          <w:szCs w:val="22"/>
        </w:rPr>
        <w:t xml:space="preserve">局部卷积分支捕捉需要高分辨率局部上下文的细尺度空间模式。它在TSC增广表示上独立操作每个垂直层级，使用残差2D卷积块堆叠。输入X_tsc首先沿深度轴分块，使每个深度d产生2D特征图。每张图通过L个残差块处理。各深度输出被堆叠回具有C_local特征通道和原始D×H×W空间结构的张量。生成的特征捕捉锋面边界、涡旋尺度变率和在低频谱表示中丢失的海岸梯度。</w:t>
      </w:r>
    </w:p>
    <w:p>
      <w:pPr>
        <w:pStyle w:val="Heading2"/>
      </w:pPr>
      <w:r>
        <w:rPr>
          <w:rFonts w:ascii="Arial" w:cs="Arial" w:eastAsia="Arial" w:hAnsi="Arial"/>
          <w:b/>
          <w:bCs/>
          <w:sz w:val="24"/>
          <w:szCs w:val="24"/>
        </w:rPr>
        <w:t xml:space="preserve">4.4 全局谱域低模态分支</w:t>
      </w:r>
    </w:p>
    <w:p>
      <w:pPr>
        <w:spacing w:after="100"/>
      </w:pPr>
      <w:r>
        <w:rPr>
          <w:rFonts w:ascii="Arial" w:cs="Arial" w:eastAsia="Arial" w:hAnsi="Arial"/>
          <w:sz w:val="22"/>
          <w:szCs w:val="22"/>
        </w:rPr>
        <w:t xml:space="preserve">大尺度海洋梯度，如经向温度梯度和盆地尺度盐度模式，自然地由低频傅里叶模态表示。全局谱域分支通过将时空输入变换到傅里叶域并应用学到的谱混合来学习这些模态。给定重塑为(B, T·C·D, H, W)的TSC增广输入，沿空间维度计算2D实FFT。通过将频率维度截断至(M_y, M_x)选择低频模态，其中M_y, M_x ≪ H, W。学到的谱混合器——在傅里叶域中实现为通道级线性变换序列——操作于所选模态。混合后，模态被零填充回原始频率维度并通过逆RFFT变换回空间域。谱域分支输出捕捉局部卷积难以表示的全局遥相关和大尺度梯度。</w:t>
      </w:r>
    </w:p>
    <w:p>
      <w:pPr>
        <w:pStyle w:val="Heading2"/>
      </w:pPr>
      <w:r>
        <w:rPr>
          <w:rFonts w:ascii="Arial" w:cs="Arial" w:eastAsia="Arial" w:hAnsi="Arial"/>
          <w:b/>
          <w:bCs/>
          <w:sz w:val="24"/>
          <w:szCs w:val="24"/>
        </w:rPr>
        <w:t xml:space="preserve">4.5 3D时空结构分支</w:t>
      </w:r>
    </w:p>
    <w:p>
      <w:pPr>
        <w:spacing w:after="100"/>
      </w:pPr>
      <w:r>
        <w:rPr>
          <w:rFonts w:ascii="Arial" w:cs="Arial" w:eastAsia="Arial" w:hAnsi="Arial"/>
          <w:sz w:val="22"/>
          <w:szCs w:val="22"/>
        </w:rPr>
        <w:t xml:space="preserve">海洋变量在四维空间（变量、时间、纬度、经度）中共同演化。ConvLSTM或2D卷积架构将时间和维度作为通道处理，这可能掩盖联合变量-时间-空间交互。3D时空结构分支使用3D卷积在完整(B, C, T, D, H, W)张量上操作（将深度视为额外空间维度）。经过L层3D卷积后，时间维度通过平均折叠，结果被投影以匹配其他分支的空间特征维度。此分支使模型能够学习如一个深度上的温度与另一深度上的盐度之间的关系，以及这些关系如何在输入序列中演化。</w:t>
      </w:r>
    </w:p>
    <w:p>
      <w:pPr>
        <w:pStyle w:val="Heading2"/>
      </w:pPr>
      <w:r>
        <w:rPr>
          <w:rFonts w:ascii="Arial" w:cs="Arial" w:eastAsia="Arial" w:hAnsi="Arial"/>
          <w:b/>
          <w:bCs/>
          <w:sz w:val="24"/>
          <w:szCs w:val="24"/>
        </w:rPr>
        <w:t xml:space="preserve">4.6 门控集成融合</w:t>
      </w:r>
    </w:p>
    <w:p>
      <w:pPr>
        <w:spacing w:after="100"/>
      </w:pPr>
      <w:r>
        <w:rPr>
          <w:rFonts w:ascii="Arial" w:cs="Arial" w:eastAsia="Arial" w:hAnsi="Arial"/>
          <w:sz w:val="22"/>
          <w:szCs w:val="22"/>
        </w:rPr>
        <w:t xml:space="preserve">单头预测可能不稳定，特别是在较长预报期和盐度方面。门控集成头通过产生M个独立预报成员并通过空间自适应权重组合它们来缓解此问题。三分支的融合特征图通过M个并行预测头，每个产生一个预报。空间门控网络产生逐像素权重。最终预测为加权和。轻量级Transformer精炼器可选地应用于融合特征之后，集成头之前，提供额外的全局空间上下文。学到的持久性分量增加稳定性：目标变量的最后一个观测帧被投影到输出维度并以可训练的尺度参数加到预测中。</w:t>
      </w:r>
    </w:p>
    <w:p>
      <w:pPr>
        <w:pStyle w:val="Heading2"/>
      </w:pPr>
      <w:r>
        <w:rPr>
          <w:rFonts w:ascii="Arial" w:cs="Arial" w:eastAsia="Arial" w:hAnsi="Arial"/>
          <w:b/>
          <w:bCs/>
          <w:sz w:val="24"/>
          <w:szCs w:val="24"/>
        </w:rPr>
        <w:t xml:space="preserve">4.7 目标函数</w:t>
      </w:r>
    </w:p>
    <w:p>
      <w:pPr>
        <w:spacing w:after="100"/>
      </w:pPr>
      <w:r>
        <w:rPr>
          <w:rFonts w:ascii="Arial" w:cs="Arial" w:eastAsia="Arial" w:hAnsi="Arial"/>
          <w:sz w:val="22"/>
          <w:szCs w:val="22"/>
        </w:rPr>
        <w:t xml:space="preserve">模型使用复合损失训练，包含均方误差和空间梯度匹配项。梯度损失鼓励模型保留锋面和涡旋等尖锐空间结构，而非产生过平滑的预测。</w:t>
      </w:r>
    </w:p>
    <w:p>
      <w:pPr>
        <w:pStyle w:val="Heading1"/>
      </w:pPr>
      <w:r>
        <w:rPr>
          <w:rFonts w:ascii="Arial" w:cs="Arial" w:eastAsia="Arial" w:hAnsi="Arial"/>
          <w:b/>
          <w:bCs/>
          <w:sz w:val="28"/>
          <w:szCs w:val="28"/>
        </w:rPr>
        <w:t xml:space="preserve">5 实验</w:t>
      </w:r>
    </w:p>
    <w:p>
      <w:pPr>
        <w:pStyle w:val="Heading2"/>
      </w:pPr>
      <w:r>
        <w:rPr>
          <w:rFonts w:ascii="Arial" w:cs="Arial" w:eastAsia="Arial" w:hAnsi="Arial"/>
          <w:b/>
          <w:bCs/>
          <w:sz w:val="24"/>
          <w:szCs w:val="24"/>
        </w:rPr>
        <w:t xml:space="preserve">5.1 设置与基线</w:t>
      </w:r>
    </w:p>
    <w:p>
      <w:pPr>
        <w:spacing w:after="100"/>
      </w:pPr>
      <w:r>
        <w:rPr>
          <w:rFonts w:ascii="Arial" w:cs="Arial" w:eastAsia="Arial" w:hAnsi="Arial"/>
          <w:sz w:val="22"/>
          <w:szCs w:val="22"/>
        </w:rPr>
        <w:t xml:space="preserve">主要对比（表II）中，所有模型在一致的20轮协议下训练（批大小2，无滑动窗口增强，无ARIMA/XGBoost堆叠）。TSC-Fusion使用其完整配置，包括热盐输入、时间/深度位置编码和完整的多分支融合头。基线在相同训练预算下复现，但无TSC-Fusion特有的额外编码或热盐输入。</w:t>
      </w:r>
    </w:p>
    <w:p>
      <w:pPr>
        <w:spacing w:after="100"/>
      </w:pPr>
      <w:r>
        <w:rPr>
          <w:rFonts w:ascii="Arial" w:cs="Arial" w:eastAsia="Arial" w:hAnsi="Arial"/>
          <w:sz w:val="22"/>
          <w:szCs w:val="22"/>
        </w:rPr>
        <w:t xml:space="preserve">2005年1月至2016年12月的数据用于训练，2017年1月至2018年12月用于验证，2019年1月至2020年12月用于测试。训练目标为变量特定（TEMP和SALT分别建模）。</w:t>
      </w:r>
    </w:p>
    <w:p>
      <w:pPr>
        <w:spacing w:after="100"/>
      </w:pPr>
      <w:r>
        <w:rPr>
          <w:rFonts w:ascii="Arial" w:cs="Arial" w:eastAsia="Arial" w:hAnsi="Arial"/>
          <w:sz w:val="22"/>
          <w:szCs w:val="22"/>
        </w:rPr>
        <w:t xml:space="preserve">我们将TSC-Fusion与四个在相同协议下复现的基线对比：(1) TianHai——带注意力机制的U-Net用于3D海洋状态预测；(2) FuXi-Ocean——从FuXi调整用于海洋变量的级联Transformer架构；(3) FuXi-ONS——产生多个预报成员并带学到的门控的集成变体；(4) AxiomOcean——在联合变量-时间-空间立方体上操作的3D卷积架构。</w:t>
      </w:r>
    </w:p>
    <w:p>
      <w:pPr>
        <w:spacing w:after="100"/>
      </w:pPr>
      <w:r>
        <w:rPr>
          <w:rFonts w:ascii="Arial" w:cs="Arial" w:eastAsia="Arial" w:hAnsi="Arial"/>
          <w:sz w:val="22"/>
          <w:szCs w:val="22"/>
        </w:rPr>
        <w:t xml:space="preserve">TSC-Fusion按设计使用8个额外热盐输入（PTEMP、PDEN、SPICE）；基线使用标准5个输入变量（TEMP、SALT、SSHA、UWND、VWND）。由于PTEMP、PDEN和SPICE是TEMP/SALT的确定性TEOS-10变换而非独立的外部观测，我们将其视为物理导出的特征通道。它们的边际贡献在5变量消融变体中单独评估（表III中的w/o PTEMP/PDEN/SPICE）。</w:t>
      </w:r>
    </w:p>
    <w:p>
      <w:pPr>
        <w:spacing w:after="100"/>
      </w:pPr>
      <w:r>
        <w:rPr>
          <w:rFonts w:ascii="Arial" w:cs="Arial" w:eastAsia="Arial" w:hAnsi="Arial"/>
          <w:sz w:val="22"/>
          <w:szCs w:val="22"/>
        </w:rPr>
        <w:t xml:space="preserve">对于消融研究（表III），我们采用进一步精简的控制设置，隐藏维度32，无位置/时间/深度编码，以便所有变体在相同计算预算下训练。因此消融表中的绝对值与表II不直接可比；消融旨在比较相同控制设置内的相对组分效应。</w:t>
      </w:r>
    </w:p>
    <w:p>
      <w:pPr>
        <w:spacing w:after="100"/>
      </w:pPr>
      <w:r>
        <w:rPr>
          <w:rFonts w:ascii="Arial" w:cs="Arial" w:eastAsia="Arial" w:hAnsi="Arial"/>
          <w:sz w:val="22"/>
          <w:szCs w:val="22"/>
        </w:rPr>
        <w:t xml:space="preserve">我们报告TEMP和SALT的RMSE、MAE和R²。为评估物理一致性，我们使用TEOS-10从反归一化的预测TEMP/SALT场以及相同深度和地理坐标计算位密（PDEN）和辛酸（SPICE）。</w:t>
      </w:r>
    </w:p>
    <w:p>
      <w:pPr>
        <w:pStyle w:val="Heading2"/>
      </w:pPr>
      <w:r>
        <w:rPr>
          <w:rFonts w:ascii="Arial" w:cs="Arial" w:eastAsia="Arial" w:hAnsi="Arial"/>
          <w:b/>
          <w:bCs/>
          <w:sz w:val="24"/>
          <w:szCs w:val="24"/>
        </w:rPr>
        <w:t xml:space="preserve">5.2 主要结果</w:t>
      </w:r>
    </w:p>
    <w:p>
      <w:pPr>
        <w:spacing w:after="100"/>
      </w:pPr>
      <w:r>
        <w:rPr>
          <w:rFonts w:ascii="Arial" w:cs="Arial" w:eastAsia="Arial" w:hAnsi="Arial"/>
          <w:sz w:val="22"/>
          <w:szCs w:val="22"/>
        </w:rPr>
        <w:t xml:space="preserve">表II报告20轮对比结果。TSC-Fusion在两个变量上均达到最优性能。对于温度，TSC-Fusion的RMSE相对于最佳基线降低22.8%，相对于最弱基线降低33.7%。对于盐度，改进更为显著：TSC-Fusion的RMSE相对于最佳基线降低8.6%，相对于最弱基线降低18.2%。</w:t>
      </w:r>
    </w:p>
    <w:p>
      <w:pPr>
        <w:spacing w:after="100"/>
      </w:pPr>
      <w:r>
        <w:rPr>
          <w:rFonts w:ascii="Arial" w:cs="Arial" w:eastAsia="Arial" w:hAnsi="Arial"/>
          <w:sz w:val="22"/>
          <w:szCs w:val="22"/>
        </w:rPr>
        <w:t xml:space="preserve">盐度结果尤其值得注意，因为盐度通常比温度更难预测：它呈现更尖锐的空间梯度，更受局地淡水强迫影响，且时间自相关较弱。TSC-Fusion的盐度R²为0.8795，以明显优势超过最佳基线（FuXi-Ocean，0.8557），表明TSC记忆模块对水团结构的显式建模提供了通用架构无法捕捉的信号。</w:t>
      </w:r>
    </w:p>
    <w:p>
      <w:pPr>
        <w:pStyle w:val="Heading2"/>
      </w:pPr>
      <w:r>
        <w:rPr>
          <w:rFonts w:ascii="Arial" w:cs="Arial" w:eastAsia="Arial" w:hAnsi="Arial"/>
          <w:b/>
          <w:bCs/>
          <w:sz w:val="24"/>
          <w:szCs w:val="24"/>
        </w:rPr>
        <w:t xml:space="preserve">5.3 预测可视化</w:t>
      </w:r>
    </w:p>
    <w:p>
      <w:pPr>
        <w:spacing w:after="100"/>
      </w:pPr>
      <w:r>
        <w:rPr>
          <w:rFonts w:ascii="Arial" w:cs="Arial" w:eastAsia="Arial" w:hAnsi="Arial"/>
          <w:sz w:val="22"/>
          <w:szCs w:val="22"/>
        </w:rPr>
        <w:t xml:space="preserve">我们可视化空间预测质量以补充表II中的聚合指标。TSC-Fusion预测在三个代表性深度（海表、50米和200米）与观测进行对比。模型高保真地再现了大尺度空间结构——经向温度梯度、沿海盐度模式和次表层温跃层特征。残差误差主要局限在锋面边界和沿海区域附近，这些地方的尖锐梯度挑战任何数据驱动方法。误差的空间分布在深度上一致，表明多分支融合保持了垂直结构。</w:t>
      </w:r>
    </w:p>
    <w:p>
      <w:pPr>
        <w:spacing w:after="100"/>
      </w:pPr>
      <w:r>
        <w:rPr>
          <w:rFonts w:ascii="Arial" w:cs="Arial" w:eastAsia="Arial" w:hAnsi="Arial"/>
          <w:sz w:val="22"/>
          <w:szCs w:val="22"/>
        </w:rPr>
        <w:t xml:space="preserve">为评估垂直结构保持，图（a–b）比较了TSC-Fusion与两个最强基线（TianHai、FuXi-Ocean）的逐深度RMSE剖面。TSC-Fusion在大多数垂直层级上达到竞争性RMSE，最大相对改进在温跃层区域（50–300米），那里垂直梯度最强。对于盐度，优势集中在上层200米，那里水团变率最高，与TSC记忆模块的设计一致。</w:t>
      </w:r>
    </w:p>
    <w:p>
      <w:pPr>
        <w:pStyle w:val="Heading2"/>
      </w:pPr>
      <w:r>
        <w:rPr>
          <w:rFonts w:ascii="Arial" w:cs="Arial" w:eastAsia="Arial" w:hAnsi="Arial"/>
          <w:b/>
          <w:bCs/>
          <w:sz w:val="24"/>
          <w:szCs w:val="24"/>
        </w:rPr>
        <w:t xml:space="preserve">5.4 消融研究</w:t>
      </w:r>
    </w:p>
    <w:p>
      <w:pPr>
        <w:spacing w:after="100"/>
      </w:pPr>
      <w:r>
        <w:rPr>
          <w:rFonts w:ascii="Arial" w:cs="Arial" w:eastAsia="Arial" w:hAnsi="Arial"/>
          <w:sz w:val="22"/>
          <w:szCs w:val="22"/>
        </w:rPr>
        <w:t xml:space="preserve">为隔离各组分的作用，我们在相同20轮协议下评估六个TSC-Fusion变体：(1) 完整TSC-Fusion——所有分支使能，8个热盐变量；(2) w/o TSC记忆——移除TSC模块，输入直接进入三分支；(3) w/o 谱域分支——禁用全局谱域分支，融合仅使用局部和3D分支输出；(4) w/o 3D分支——禁用3D分支，融合仅使用局部和谱域分支输出；(5) w/o 集成门控——门控集成替换为单预测头；(6) w/o PTEMP/PDEN/SPICE——模型仅使用5个标准输入变量。</w:t>
      </w:r>
    </w:p>
    <w:p>
      <w:pPr>
        <w:spacing w:after="100"/>
      </w:pPr>
      <w:r>
        <w:rPr>
          <w:rFonts w:ascii="Arial" w:cs="Arial" w:eastAsia="Arial" w:hAnsi="Arial"/>
          <w:sz w:val="22"/>
          <w:szCs w:val="22"/>
        </w:rPr>
        <w:t xml:space="preserve">表III报告结果。对于温度，禁用集成门控导致最大降级（RMSE +31.4%），证实多成员融合与空间自适应权重是单一最重要的架构组件。对于盐度，最大降级来自移除PTEMP/PDEN/SPICE热盐导出变量，表明水团感知输入对盐度比温度更重要——这与盐度更受TEOS-10变量编码的水团混合和平移过程影响的事实一致。</w:t>
      </w:r>
    </w:p>
    <w:p>
      <w:pPr>
        <w:spacing w:after="100"/>
      </w:pPr>
      <w:r>
        <w:rPr>
          <w:rFonts w:ascii="Arial" w:cs="Arial" w:eastAsia="Arial" w:hAnsi="Arial"/>
          <w:sz w:val="22"/>
          <w:szCs w:val="22"/>
        </w:rPr>
        <w:t xml:space="preserve">在20轮机制中出现了一个值得注意的模式：禁用单个模型分支（谱域、3D）或TSC记忆模块并不一致地降低性能；在几种情况下它产生了边际改进。这一模式表明，几个高容量组件在短20轮预算下引入了优化交互。我们进一步在第5.5节使用50轮收敛分析来考察核心提出的TSC记忆模块。</w:t>
      </w:r>
    </w:p>
    <w:p>
      <w:pPr>
        <w:pStyle w:val="Heading2"/>
      </w:pPr>
      <w:r>
        <w:rPr>
          <w:rFonts w:ascii="Arial" w:cs="Arial" w:eastAsia="Arial" w:hAnsi="Arial"/>
          <w:b/>
          <w:bCs/>
          <w:sz w:val="24"/>
          <w:szCs w:val="24"/>
        </w:rPr>
        <w:t xml:space="preserve">5.5 TSC记忆的收敛分析</w:t>
      </w:r>
    </w:p>
    <w:p>
      <w:pPr>
        <w:spacing w:after="100"/>
      </w:pPr>
      <w:r>
        <w:rPr>
          <w:rFonts w:ascii="Arial" w:cs="Arial" w:eastAsia="Arial" w:hAnsi="Arial"/>
          <w:sz w:val="22"/>
          <w:szCs w:val="22"/>
        </w:rPr>
        <w:t xml:space="preserve">表III中的消融结果揭示了一个反直觉的模式：在20轮时，禁用TSC记忆模块的表现与完整模型相当或略优。为测试这是否反映了TSC模块的根本局限还是收敛速度的假象，我们将训练延长至50轮并比较完整TSC-Fusion与无TSC记忆的变体。</w:t>
      </w:r>
    </w:p>
    <w:p>
      <w:pPr>
        <w:spacing w:after="100"/>
      </w:pPr>
      <w:r>
        <w:rPr>
          <w:rFonts w:ascii="Arial" w:cs="Arial" w:eastAsia="Arial" w:hAnsi="Arial"/>
          <w:sz w:val="22"/>
          <w:szCs w:val="22"/>
        </w:rPr>
        <w:t xml:space="preserve">图显示了两个变量的训练和验证损失轨迹。对于温度，无TSC变体早期收敛更快：在第10轮，其验证MSE为0.0692，而完整模型为0.1060——差距35%。此差距在第20轮缩小，两条轨迹在第34轮附近交叉，此后完整模型保持持续优势。在第50轮，完整模型达到最佳验证损失0.0168对比无TSC变体的0.0181，在留出测试集上产生RMSE 0.1115对比0.1122——一致但适度的改进。</w:t>
      </w:r>
    </w:p>
    <w:p>
      <w:pPr>
        <w:spacing w:after="100"/>
      </w:pPr>
      <w:r>
        <w:rPr>
          <w:rFonts w:ascii="Arial" w:cs="Arial" w:eastAsia="Arial" w:hAnsi="Arial"/>
          <w:sz w:val="22"/>
          <w:szCs w:val="22"/>
        </w:rPr>
        <w:t xml:space="preserve">对于盐度，收敛模式不同于温度。与TEMP观察到的明显早期差距不同，完整和无TSC盐度变体在第10轮时从几乎相同的验证损失开始（0.2720对比0.2728）。这表明TSC水团原型对盐度立即具有信息量——与盐度分布更直接地受水团混合和平移过程影响的事实一致。完整模型在20轮时保持小而一致的领先优势，并在50轮时扩大差距。值得注意的是，无TSC变体从20轮到50轮几乎没有改进（测试RMSE 0.4968对比0.4972），而完整模型持续改进（0.4995对比0.4901），表明TSC模块的水团归纳偏置不仅对盐度提供直接好处，还使模型能更有效地利用额外训练迭代。</w:t>
      </w:r>
    </w:p>
    <w:p>
      <w:pPr>
        <w:spacing w:after="100"/>
      </w:pPr>
      <w:r>
        <w:rPr>
          <w:rFonts w:ascii="Arial" w:cs="Arial" w:eastAsia="Arial" w:hAnsi="Arial"/>
          <w:sz w:val="22"/>
          <w:szCs w:val="22"/>
        </w:rPr>
        <w:t xml:space="preserve">收敛行为与水团原型假说一致。TSC模块必须首先从数据中发现有意义的剖面聚类，然后Transformer编码器才能传播有用的水团上下文。对于温度，这个原型发现阶段——约前30–35轮——消耗了在20轮机制中本可用于精炼局部卷积分支的训练迭代。对于盐度，原型从一开始就具有直接信息量，延长训练主要精炼原型到上下文的映射。我们建议训练TSC-Fusion时至少30–40轮，特别是在期望水团归纳偏置提供最大好处的应用中。</w:t>
      </w:r>
    </w:p>
    <w:p>
      <w:pPr>
        <w:pStyle w:val="Heading2"/>
      </w:pPr>
      <w:r>
        <w:rPr>
          <w:rFonts w:ascii="Arial" w:cs="Arial" w:eastAsia="Arial" w:hAnsi="Arial"/>
          <w:b/>
          <w:bCs/>
          <w:sz w:val="24"/>
          <w:szCs w:val="24"/>
        </w:rPr>
        <w:t xml:space="preserve">5.6 物理一致性</w:t>
      </w:r>
    </w:p>
    <w:p>
      <w:pPr>
        <w:spacing w:after="100"/>
      </w:pPr>
      <w:r>
        <w:rPr>
          <w:rFonts w:ascii="Arial" w:cs="Arial" w:eastAsia="Arial" w:hAnsi="Arial"/>
          <w:sz w:val="22"/>
          <w:szCs w:val="22"/>
        </w:rPr>
        <w:t xml:space="preserve">表IV报告TEOS-10导出的物理一致性指标。TEOS-10诊断从反归一化的预测TEMP/SALT场使用与目标数据相同的深度和地理坐标计算。由于导出场（位密和辛酸）在训练中未直接优化，它们的预测质量反映了模型是否学到了物理上合理的联合温盐关系。TSC-Fusion在两个导出变量上均表现强劲，R²值分别为0.9780（PDEN）和0.9752（SPICE），超越两个基线——表明TSC记忆模块和多分支融合保持了有意义的温盐耦合。</w:t>
      </w:r>
    </w:p>
    <w:p>
      <w:pPr>
        <w:pStyle w:val="Heading1"/>
      </w:pPr>
      <w:r>
        <w:rPr>
          <w:rFonts w:ascii="Arial" w:cs="Arial" w:eastAsia="Arial" w:hAnsi="Arial"/>
          <w:b/>
          <w:bCs/>
          <w:sz w:val="28"/>
          <w:szCs w:val="28"/>
        </w:rPr>
        <w:t xml:space="preserve">6 讨论</w:t>
      </w:r>
    </w:p>
    <w:p>
      <w:pPr>
        <w:spacing w:after="100"/>
      </w:pPr>
      <w:r>
        <w:rPr>
          <w:rFonts w:ascii="Arial" w:cs="Arial" w:eastAsia="Arial" w:hAnsi="Arial"/>
          <w:sz w:val="22"/>
          <w:szCs w:val="22"/>
        </w:rPr>
        <w:t xml:space="preserve">结果展示了TSC-Fusion的多分支设计为海洋温盐预测提供了互补性收益。几个观察值得讨论。</w:t>
      </w:r>
    </w:p>
    <w:p>
      <w:pPr>
        <w:spacing w:after="100"/>
      </w:pPr>
      <w:r>
        <w:rPr>
          <w:rFonts w:ascii="Arial" w:cs="Arial" w:eastAsia="Arial" w:hAnsi="Arial"/>
          <w:sz w:val="22"/>
          <w:szCs w:val="22"/>
        </w:rPr>
        <w:t xml:space="preserve">第一，TSC记忆模块引入了显式水团归纳偏置，似乎对盐度特别有益。盐度分布受水团形成、混合和平移的强烈塑造；通过将剖面软路由到学到的水团原型并通过Transformer编码器传播该上下文，TSC模块捕捉了通用卷积或注意力架构从有限训练样本中更难学习的关系。此解释与盐度R²相对于最佳基线提升2.4个百分点一致。</w:t>
      </w:r>
    </w:p>
    <w:p>
      <w:pPr>
        <w:spacing w:after="100"/>
      </w:pPr>
      <w:r>
        <w:rPr>
          <w:rFonts w:ascii="Arial" w:cs="Arial" w:eastAsia="Arial" w:hAnsi="Arial"/>
          <w:sz w:val="22"/>
          <w:szCs w:val="22"/>
        </w:rPr>
        <w:t xml:space="preserve">第二，全局谱域分支针对大尺度梯度和盆地尺度遥相关。海洋温度尤其表现出由太阳强迫和大尺度环流驱动的强经向和纬向梯度。傅里叶域表示使模型能够以远少于等效空间域卷积堆栈所需的参数来学习这些低频模式。</w:t>
      </w:r>
    </w:p>
    <w:p>
      <w:pPr>
        <w:spacing w:after="100"/>
      </w:pPr>
      <w:r>
        <w:rPr>
          <w:rFonts w:ascii="Arial" w:cs="Arial" w:eastAsia="Arial" w:hAnsi="Arial"/>
          <w:sz w:val="22"/>
          <w:szCs w:val="22"/>
        </w:rPr>
        <w:t xml:space="preserve">第三，3D时空结构分支保留了当变量和时间步被展平为通道时丢失的联合变量-时间-空间结构。海洋垂直结构——温跃层深度、盐度最大值、水团间的过渡——依赖于跨深度、变量和时间维度的交互，2D卷积无法直接表示这些交互。通过操作完整4D张量，3D分支显式捕捉这些交互。</w:t>
      </w:r>
    </w:p>
    <w:p>
      <w:pPr>
        <w:spacing w:after="100"/>
      </w:pPr>
      <w:r>
        <w:rPr>
          <w:rFonts w:ascii="Arial" w:cs="Arial" w:eastAsia="Arial" w:hAnsi="Arial"/>
          <w:sz w:val="22"/>
          <w:szCs w:val="22"/>
        </w:rPr>
        <w:t xml:space="preserve">第四，门控集成头降低了单头预测固有的方差。不同集成成员可以专门化到不同空间区域或预报期，空间门控学习相应地加权它们。此机制类似于数值天气预报中的集合离散度，但权重是从数据端到端学习的。</w:t>
      </w:r>
    </w:p>
    <w:p>
      <w:pPr>
        <w:spacing w:after="100"/>
      </w:pPr>
      <w:r>
        <w:rPr>
          <w:rFonts w:ascii="Arial" w:cs="Arial" w:eastAsia="Arial" w:hAnsi="Arial"/>
          <w:sz w:val="22"/>
          <w:szCs w:val="22"/>
        </w:rPr>
        <w:t xml:space="preserve">我们指出两个重要警示。第一，TSC-Fusion使用了额外的热盐输入（PTEMP、PDEN、SPICE），这些输入从相同的TEMP和SALT场导出但编码了物理上有意义的水团属性。使用标准5变量输入的消融（w/o PTEMP/PDEN/SPICE）隔离了来自架构与来自额外输入信息的收益各有多少。第二，20轮协议提供了受控比较，但不代表任何模型的性能天花板。更长的训练、更大的隐藏维度和学习率调优很可能提升所有模型。关键发现是相对排序和多分支设计的一致好处。</w:t>
      </w:r>
    </w:p>
    <w:p>
      <w:pPr>
        <w:pStyle w:val="Heading1"/>
      </w:pPr>
      <w:r>
        <w:rPr>
          <w:rFonts w:ascii="Arial" w:cs="Arial" w:eastAsia="Arial" w:hAnsi="Arial"/>
          <w:b/>
          <w:bCs/>
          <w:sz w:val="28"/>
          <w:szCs w:val="28"/>
        </w:rPr>
        <w:t xml:space="preserve">7 结论</w:t>
      </w:r>
    </w:p>
    <w:p>
      <w:pPr>
        <w:spacing w:after="100"/>
      </w:pPr>
      <w:r>
        <w:rPr>
          <w:rFonts w:ascii="Arial" w:cs="Arial" w:eastAsia="Arial" w:hAnsi="Arial"/>
          <w:sz w:val="22"/>
          <w:szCs w:val="22"/>
        </w:rPr>
        <w:t xml:space="preserve">我们提出了TSC-Fusion，一种用于海洋温盐预测的热盐结构融合网络，集成了水团感知记忆、全局谱域低模态学习、3D时空结构建模和门控集成融合。在标准化的20轮评估协议下，TSC-Fusion在温度和盐度上均取得最优结果，超越TianHai、FuXi-Ocean、FuXi-ONS和AxiomOcean的复现版本。消融实验识别出集成门控和热盐导出输入是最关键的组件，而TSC记忆、谱域和3D分支显示出依赖收敛的收益。TEOS-10导出的物理诊断进一步验证预测场保持了有意义的温盐耦合。未来工作将扩展框架到更长的预报期，将更直接的物理约束如温盐关系纳入损失函数，并评估在极端海洋-大气事件（包括台风和强ENSO事件）下的稳健性。</w:t>
      </w:r>
    </w:p>
    <w:p>
      <w:pPr>
        <w:spacing w:after="100" w:before="200"/>
      </w:pPr>
      <w:r>
        <w:rPr>
          <w:rFonts w:ascii="Arial" w:cs="Arial" w:eastAsia="Arial" w:hAnsi="Arial"/>
          <w:i/>
          <w:iCs/>
          <w:sz w:val="20"/>
          <w:szCs w:val="20"/>
        </w:rPr>
        <w:t xml:space="preserve">表I：多源海洋数据集中的变量。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960"/>
        <w:gridCol w:w="2200"/>
      </w:tblGrid>
      <w:tr>
        <w:trPr>
          <w:tblHeader/>
        </w:trPr>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变量</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含义</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形状</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角色</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TEMP</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温度</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Z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目标/输入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SALT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盐度</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Z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目标/输入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PTEMP</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位温</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Z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TSC输入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PDEN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位密</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Z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TSC输入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SPICE</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辛酸</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Z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TSC输入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SSHA</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海面高度异常</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UWND</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纬向风</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VWND</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经向风</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 × Y × 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输入</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LEVEL</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深度坐标</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Z</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编码</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LON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经度</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X</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编码</w:t>
            </w:r>
          </w:p>
        </w:tc>
      </w:tr>
      <w:tr>
        <w:tc>
          <w:tcPr>
            <w:tcW w:type="dxa" w:w="1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LAT</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纬度</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Y</w:t>
            </w:r>
          </w:p>
        </w:tc>
        <w:tc>
          <w:tcPr>
            <w:tcW w:type="dxa" w:w="196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编码</w:t>
            </w:r>
          </w:p>
        </w:tc>
      </w:tr>
    </w:tbl>
    <w:p>
      <w:r>
        <w:br w:type="page"/>
      </w:r>
    </w:p>
    <w:p>
      <w:pPr>
        <w:spacing w:after="100" w:before="200"/>
      </w:pPr>
      <w:r>
        <w:rPr>
          <w:rFonts w:ascii="Arial" w:cs="Arial" w:eastAsia="Arial" w:hAnsi="Arial"/>
          <w:i/>
          <w:iCs/>
          <w:sz w:val="20"/>
          <w:szCs w:val="20"/>
        </w:rPr>
        <w:t xml:space="preserve">表II：20轮评估协议下的预测精度。TSC-Fusion除5个标准变量外还使用PTEMP/PDEN/SPICE。RMSE和MAE单位：温度°C，盐度PSU。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1400"/>
        <w:gridCol w:w="1400"/>
        <w:gridCol w:w="1960"/>
      </w:tblGrid>
      <w:tr>
        <w:trPr>
          <w:tblHeader/>
        </w:trPr>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变量</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模型</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RMSE</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MAE</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R²</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TEMP</w:t>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TianHai</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0.1460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0.1056</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0.9788</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FuXi-Ocean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0.1312</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0.0943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0.9829</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FuXi-ONS</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0.1527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0.1166</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0.9768</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AxiomOcean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0.1344</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0.0986</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0.9820</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TSC-Fusion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0.1013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0.0687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0.9898</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SALT</w:t>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TianHai</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0.4344</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0.3023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0.8329</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FuXi-Ocean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0.4036</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0.2765</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0.8557</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FuXi-ONS</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0.4508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0.3098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0.8201</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AxiomOcean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0.4347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0.3006</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0.8327</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22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TSC-Fusion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0.3689</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0.2317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0.8795</w:t>
            </w:r>
          </w:p>
        </w:tc>
      </w:tr>
    </w:tbl>
    <w:p>
      <w:r>
        <w:br w:type="page"/>
      </w:r>
    </w:p>
    <w:p>
      <w:pPr>
        <w:spacing w:after="100" w:before="200"/>
      </w:pPr>
      <w:r>
        <w:rPr>
          <w:rFonts w:ascii="Arial" w:cs="Arial" w:eastAsia="Arial" w:hAnsi="Arial"/>
          <w:i/>
          <w:iCs/>
          <w:sz w:val="20"/>
          <w:szCs w:val="20"/>
        </w:rPr>
        <w:t xml:space="preserve">表III：TSC-Fusion组分的消融研究，采用精简的20轮消融协议。此表旨在比较相同控制消融设置内的相对组分效应，绝对值与表II的主要结果不直接可比。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1400"/>
        <w:gridCol w:w="1400"/>
        <w:gridCol w:w="1400"/>
        <w:gridCol w:w="1760"/>
      </w:tblGrid>
      <w:tr>
        <w:trPr>
          <w:tblHeader/>
        </w:trPr>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变量</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变体</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RMSE</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MAE</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R²</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TEMP</w:t>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完整TSC-Fusion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0.1491</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0.1070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0.9779</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TSC记忆</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0.1398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0.1007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0.9806</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谱域</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0.1572</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0.1134</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0.9754</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3D分支</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0.1538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0.1153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0.9765</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集成</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0.1959</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0.1523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0.9618</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PTEMP/PDEN/SPICE</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0.1491</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0.1113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0.9779</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SALT</w:t>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完整TSC-Fusion</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0.4995</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0.3312</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0.7790</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TSC记忆</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0.4968</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0.3279</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0.7814</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谱域</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0.4835</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0.3207</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0.7930</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3D分支</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0.4630</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0.3125</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0.8102</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集成</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0.5031</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0.3532</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0.7759</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3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w/o PTEMP/PDEN/SPICE</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0.5183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0.3423</w:t>
            </w:r>
          </w:p>
        </w:tc>
        <w:tc>
          <w:tcPr>
            <w:tcW w:type="dxa" w:w="1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0.7621</w:t>
            </w:r>
          </w:p>
        </w:tc>
      </w:tr>
    </w:tbl>
    <w:p>
      <w:r>
        <w:br w:type="page"/>
      </w:r>
    </w:p>
    <w:p>
      <w:pPr>
        <w:spacing w:after="100" w:before="200"/>
      </w:pPr>
      <w:r>
        <w:rPr>
          <w:rFonts w:ascii="Arial" w:cs="Arial" w:eastAsia="Arial" w:hAnsi="Arial"/>
          <w:i/>
          <w:iCs/>
          <w:sz w:val="20"/>
          <w:szCs w:val="20"/>
        </w:rPr>
        <w:t xml:space="preserve">表IV：TEOS-10导出变量的物理一致性评估。RMSE单位：kg/m³（PDEN和SPICE）。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000"/>
        <w:gridCol w:w="2000"/>
        <w:gridCol w:w="2000"/>
        <w:gridCol w:w="2000"/>
      </w:tblGrid>
      <w:tr>
        <w:trPr>
          <w:tblHeader/>
        </w:trPr>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指标</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变量</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TianHai</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FuXi-Ocean</w:t>
            </w:r>
          </w:p>
        </w:tc>
        <w:tc>
          <w:tcPr>
            <w:tcW w:type="dxa" w:w="1200"/>
            <w:tcBorders>
              <w:top w:val="single" w:color="999999" w:sz="1"/>
              <w:left w:val="single" w:color="999999" w:sz="1"/>
              <w:bottom w:val="single" w:color="999999" w:sz="1"/>
              <w:right w:val="single" w:color="999999" w:sz="1"/>
            </w:tcBorders>
            <w:shd w:fill="D9E2F3" w:val="clear"/>
            <w:tcMar>
              <w:top w:type="dxa" w:w="40"/>
              <w:left w:type="dxa" w:w="60"/>
              <w:bottom w:type="dxa" w:w="40"/>
              <w:right w:type="dxa" w:w="60"/>
            </w:tcMar>
          </w:tcPr>
          <w:p>
            <w:pPr>
              <w:jc w:val="center"/>
            </w:pPr>
            <w:r>
              <w:rPr>
                <w:rFonts w:ascii="Arial" w:cs="Arial" w:eastAsia="Arial" w:hAnsi="Arial"/>
                <w:b/>
                <w:bCs/>
                <w:sz w:val="18"/>
                <w:szCs w:val="18"/>
              </w:rPr>
              <w:t xml:space="preserve">TSC-Fusion</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RMSE</w:t>
            </w:r>
          </w:p>
        </w:tc>
        <w:tc>
          <w:tcPr>
            <w:tcW w:type="dxa" w:w="13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PDEN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0.3860</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0.3515</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0.3248</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13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SPICE</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0.4071</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0.3803</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0.3567</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R²</w:t>
            </w:r>
          </w:p>
        </w:tc>
        <w:tc>
          <w:tcPr>
            <w:tcW w:type="dxa" w:w="13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PDEN</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0.9689</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0.9742</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0.9780</w:t>
            </w:r>
          </w:p>
        </w:tc>
      </w:tr>
      <w:tr>
        <w:tc>
          <w:tcPr>
            <w:tcW w:type="dxa" w:w="1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
            </w:r>
          </w:p>
        </w:tc>
        <w:tc>
          <w:tcPr>
            <w:tcW w:type="dxa" w:w="13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SPICE</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0.9677</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0.9718</w:t>
            </w:r>
          </w:p>
        </w:tc>
        <w:tc>
          <w:tcPr>
            <w:tcW w:type="dxa" w:w="20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b/>
                <w:bCs/>
                <w:sz w:val="18"/>
                <w:szCs w:val="18"/>
              </w:rPr>
              <w:t xml:space="preserve">0.9752</w:t>
            </w:r>
          </w:p>
        </w:tc>
      </w:tr>
    </w:tbl>
    <w:p>
      <w:pPr>
        <w:spacing w:before="300"/>
      </w:pPr>
      <w:r>
        <w:rPr>
          <w:rFonts w:ascii="Arial" w:cs="Arial" w:eastAsia="Arial" w:hAnsi="Arial"/>
          <w:b/>
          <w:bCs/>
          <w:sz w:val="22"/>
          <w:szCs w:val="22"/>
        </w:rPr>
        <w:t xml:space="preserve">基金</w:t>
      </w:r>
    </w:p>
    <w:p>
      <w:pPr>
        <w:spacing w:after="100"/>
      </w:pPr>
      <w:r>
        <w:rPr>
          <w:rFonts w:ascii="Arial" w:cs="Arial" w:eastAsia="Arial" w:hAnsi="Arial"/>
          <w:sz w:val="22"/>
          <w:szCs w:val="22"/>
        </w:rPr>
        <w:t xml:space="preserve">本研究得到自然资源部东南海岸海洋信息智能感知与应用重点实验室（No. 24205）和厦门大学大学生创新创业训练计划（S202510384570）的支持。</w:t>
      </w:r>
    </w:p>
    <w:p>
      <w:r>
        <w:rPr>
          <w:rFonts w:ascii="Arial" w:cs="Arial" w:eastAsia="Arial" w:hAnsi="Arial"/>
          <w:b/>
          <w:bCs/>
          <w:sz w:val="22"/>
          <w:szCs w:val="22"/>
        </w:rPr>
        <w:t xml:space="preserve">致谢</w:t>
      </w:r>
    </w:p>
    <w:p>
      <w:r>
        <w:rPr>
          <w:rFonts w:ascii="Arial" w:cs="Arial" w:eastAsia="Arial" w:hAnsi="Arial"/>
          <w:sz w:val="22"/>
          <w:szCs w:val="22"/>
        </w:rPr>
        <w:t xml:space="preserve">作者感谢全球Argo浮标计划、AVISO和CCMP数据提供者提供海洋观测数据。</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第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88888"/>
        <w:sz w:val="18"/>
        <w:szCs w:val="18"/>
      </w:rPr>
      <w:t xml:space="preserve">TSC-Fusion 论文审阅稿（中文版）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2026-05-29T08:54:41.585Z</dcterms:created>
  <dcterms:modified xsi:type="dcterms:W3CDTF">2026-05-29T08:54:41.586Z</dcterms:modified>
</cp:coreProperties>
</file>

<file path=docProps/custom.xml><?xml version="1.0" encoding="utf-8"?>
<Properties xmlns="http://schemas.openxmlformats.org/officeDocument/2006/custom-properties" xmlns:vt="http://schemas.openxmlformats.org/officeDocument/2006/docPropsVTypes"/>
</file>