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GIẢI – CHUẨN HÓA SRS THEO IEEE 830</w:t>
      </w:r>
    </w:p>
    <w:p>
      <w:pPr>
        <w:pStyle w:val="Heading1"/>
      </w:pPr>
      <w:r>
        <w:t>Bước 1 — Xác định đúng vị trí IEEE 830</w:t>
      </w:r>
    </w:p>
    <w:tbl>
      <w:tblPr>
        <w:tblStyle w:val="TableGrid"/>
        <w:tblW w:type="auto" w:w="0"/>
        <w:tblLook w:firstColumn="1" w:firstRow="1" w:lastColumn="0" w:lastRow="0" w:noHBand="0" w:noVBand="1" w:val="04A0"/>
      </w:tblPr>
      <w:tblGrid>
        <w:gridCol w:w="2880"/>
        <w:gridCol w:w="2880"/>
        <w:gridCol w:w="2880"/>
      </w:tblGrid>
      <w:tr>
        <w:tc>
          <w:tcPr>
            <w:tcW w:type="dxa" w:w="2880"/>
          </w:tcPr>
          <w:p>
            <w:r>
              <w:t>Nội dung</w:t>
            </w:r>
          </w:p>
        </w:tc>
        <w:tc>
          <w:tcPr>
            <w:tcW w:type="dxa" w:w="2880"/>
          </w:tcPr>
          <w:p>
            <w:r>
              <w:t>Vị trí đề xuất</w:t>
            </w:r>
          </w:p>
        </w:tc>
        <w:tc>
          <w:tcPr>
            <w:tcW w:type="dxa" w:w="2880"/>
          </w:tcPr>
          <w:p>
            <w:r>
              <w:t>Đúng/Sai — vị trí đúng nếu sai</w:t>
            </w:r>
          </w:p>
        </w:tc>
      </w:tr>
      <w:tr>
        <w:tc>
          <w:tcPr>
            <w:tcW w:type="dxa" w:w="2880"/>
          </w:tcPr>
          <w:p>
            <w:r>
              <w:t>Mục A (định nghĩa “Giỏ hàng”)</w:t>
            </w:r>
          </w:p>
        </w:tc>
        <w:tc>
          <w:tcPr>
            <w:tcW w:type="dxa" w:w="2880"/>
          </w:tcPr>
          <w:p>
            <w:r>
              <w:t>3.2 Functional Requirements</w:t>
            </w:r>
          </w:p>
        </w:tc>
        <w:tc>
          <w:tcPr>
            <w:tcW w:type="dxa" w:w="2880"/>
          </w:tcPr>
          <w:p>
            <w:r>
              <w:t>Sai — đúng là 3.1.2 Product Functions (hoặc phần thuật ngữ/định nghĩa của tài liệu nếu SRS có mục Glossary/Definitions).</w:t>
            </w:r>
          </w:p>
        </w:tc>
      </w:tr>
      <w:tr>
        <w:tc>
          <w:tcPr>
            <w:tcW w:type="dxa" w:w="2880"/>
          </w:tcPr>
          <w:p>
            <w:r>
              <w:t>Mục B (3 yêu cầu chức năng)</w:t>
            </w:r>
          </w:p>
        </w:tc>
        <w:tc>
          <w:tcPr>
            <w:tcW w:type="dxa" w:w="2880"/>
          </w:tcPr>
          <w:p>
            <w:r>
              <w:t>3.2 Functional Requirements</w:t>
            </w:r>
          </w:p>
        </w:tc>
        <w:tc>
          <w:tcPr>
            <w:tcW w:type="dxa" w:w="2880"/>
          </w:tcPr>
          <w:p>
            <w:r>
              <w:t>Đúng</w:t>
            </w:r>
          </w:p>
        </w:tc>
      </w:tr>
      <w:tr>
        <w:tc>
          <w:tcPr>
            <w:tcW w:type="dxa" w:w="2880"/>
          </w:tcPr>
          <w:p>
            <w:r>
              <w:t>Danh sách Actor/Use Case tổng thể</w:t>
            </w:r>
          </w:p>
        </w:tc>
        <w:tc>
          <w:tcPr>
            <w:tcW w:type="dxa" w:w="2880"/>
          </w:tcPr>
          <w:p>
            <w:r>
              <w:t>—</w:t>
            </w:r>
          </w:p>
        </w:tc>
        <w:tc>
          <w:tcPr>
            <w:tcW w:type="dxa" w:w="2880"/>
          </w:tcPr>
          <w:p>
            <w:r>
              <w:t>Đúng — 3.1.2 Product Functions, có thể trình bày trong phần mô tả chức năng tổng thể; nếu tài liệu có mục Use Case riêng thì đặt tại đó.</w:t>
            </w:r>
          </w:p>
        </w:tc>
      </w:tr>
      <w:tr>
        <w:tc>
          <w:tcPr>
            <w:tcW w:type="dxa" w:w="2880"/>
          </w:tcPr>
          <w:p>
            <w:r>
              <w:t>Sơ đồ Sequence áp mã giảm giá (minh họa REQ-02)</w:t>
            </w:r>
          </w:p>
        </w:tc>
        <w:tc>
          <w:tcPr>
            <w:tcW w:type="dxa" w:w="2880"/>
          </w:tcPr>
          <w:p>
            <w:r>
              <w:t>—</w:t>
            </w:r>
          </w:p>
        </w:tc>
        <w:tc>
          <w:tcPr>
            <w:tcW w:type="dxa" w:w="2880"/>
          </w:tcPr>
          <w:p>
            <w:r>
              <w:t>Đúng — 3.2 Functional Requirements, đặt cùng/đính kèm REQ-02 để minh họa luồng xử lý; không thay thế mô tả yêu cầu bằng sơ đồ.</w:t>
            </w:r>
          </w:p>
        </w:tc>
      </w:tr>
    </w:tbl>
    <w:p>
      <w:pPr>
        <w:pStyle w:val="Heading1"/>
      </w:pPr>
      <w:r>
        <w:t>Bước 2 — Chuẩn hóa yêu cầu chức năng theo các đặc tính vàng</w:t>
      </w:r>
    </w:p>
    <w:tbl>
      <w:tblPr>
        <w:tblStyle w:val="TableGrid"/>
        <w:tblW w:type="auto" w:w="0"/>
        <w:tblLook w:firstColumn="1" w:firstRow="1" w:lastColumn="0" w:lastRow="0" w:noHBand="0" w:noVBand="1" w:val="04A0"/>
      </w:tblPr>
      <w:tblGrid>
        <w:gridCol w:w="2880"/>
        <w:gridCol w:w="2880"/>
        <w:gridCol w:w="2880"/>
      </w:tblGrid>
      <w:tr>
        <w:tc>
          <w:tcPr>
            <w:tcW w:type="dxa" w:w="2880"/>
          </w:tcPr>
          <w:p>
            <w:r>
              <w:t>Mã</w:t>
            </w:r>
          </w:p>
        </w:tc>
        <w:tc>
          <w:tcPr>
            <w:tcW w:type="dxa" w:w="2880"/>
          </w:tcPr>
          <w:p>
            <w:r>
              <w:t>Đặc tính vàng bị vi phạm</w:t>
            </w:r>
          </w:p>
        </w:tc>
        <w:tc>
          <w:tcPr>
            <w:tcW w:type="dxa" w:w="2880"/>
          </w:tcPr>
          <w:p>
            <w:r>
              <w:t>Viết lại đạt chuẩn</w:t>
            </w:r>
          </w:p>
        </w:tc>
      </w:tr>
      <w:tr>
        <w:tc>
          <w:tcPr>
            <w:tcW w:type="dxa" w:w="2880"/>
          </w:tcPr>
          <w:p>
            <w:r>
              <w:t>REQ-02</w:t>
            </w:r>
          </w:p>
        </w:tc>
        <w:tc>
          <w:tcPr>
            <w:tcW w:type="dxa" w:w="2880"/>
          </w:tcPr>
          <w:p>
            <w:r>
              <w:t>Không đầy đủ (Incomplete)</w:t>
            </w:r>
          </w:p>
        </w:tc>
        <w:tc>
          <w:tcPr>
            <w:tcW w:type="dxa" w:w="2880"/>
          </w:tcPr>
          <w:p>
            <w:r>
              <w:t>REQ-02: Khi khách hàng nhập mã giảm giá, hệ thống phải kiểm tra mã giảm giá còn hiệu lực và hợp lệ; nếu hợp lệ, hệ thống phải trừ đúng số tiền giảm giá theo quy tắc của mã vào tổng hóa đơn; nếu mã không hợp lệ hoặc hết hạn, hệ thống phải thông báo lỗi và không áp dụng giảm giá.</w:t>
            </w:r>
          </w:p>
        </w:tc>
      </w:tr>
      <w:tr>
        <w:tc>
          <w:tcPr>
            <w:tcW w:type="dxa" w:w="2880"/>
          </w:tcPr>
          <w:p>
            <w:r>
              <w:t>REQ-03</w:t>
            </w:r>
          </w:p>
        </w:tc>
        <w:tc>
          <w:tcPr>
            <w:tcW w:type="dxa" w:w="2880"/>
          </w:tcPr>
          <w:p>
            <w:r>
              <w:t>Không đo được/không kiểm chứng được (Unverifiable)</w:t>
            </w:r>
          </w:p>
        </w:tc>
        <w:tc>
          <w:tcPr>
            <w:tcW w:type="dxa" w:w="2880"/>
          </w:tcPr>
          <w:p>
            <w:r>
              <w:t>REQ-03: Khi khách hàng thực hiện thanh toán, hệ thống phải xử lý và trả về kết quả giao dịch trong thời gian không quá 3 giây đối với 95% yêu cầu thanh toán trong điều kiện tải được quy định của hệ thống; giao dịch phải được ghi nhận trạng thái thành công hoặc thất bại.</w:t>
            </w:r>
          </w:p>
        </w:tc>
      </w:tr>
    </w:tbl>
    <w:p>
      <w:pPr>
        <w:pStyle w:val="Heading1"/>
      </w:pPr>
      <w:r>
        <w:t>Giải thích ngắn</w:t>
      </w:r>
    </w:p>
    <w:p>
      <w:pPr>
        <w:pStyle w:val="ListBullet"/>
      </w:pPr>
      <w:r>
        <w:t>Mục A là định nghĩa khái niệm, không phải một yêu cầu chức năng. Vì vậy không nên đặt nó trực tiếp trong danh sách Functional Requirements.</w:t>
      </w:r>
    </w:p>
    <w:p>
      <w:pPr>
        <w:pStyle w:val="ListBullet"/>
      </w:pPr>
      <w:r>
        <w:t>Danh sách Actor/Use Case giúp mô tả các chức năng tổng thể của hệ thống, phù hợp với phần Product Functions/Overall Description hơn là một yêu cầu chi tiết.</w:t>
      </w:r>
    </w:p>
    <w:p>
      <w:pPr>
        <w:pStyle w:val="ListBullet"/>
      </w:pPr>
      <w:r>
        <w:t>Sequence Diagram là tài liệu minh họa hành vi/luồng tương tác. Với sơ đồ này, đặt gần REQ-02 trong phần Functional Requirements là hợp lý.</w:t>
      </w:r>
    </w:p>
    <w:p>
      <w:pPr>
        <w:pStyle w:val="ListBullet"/>
      </w:pPr>
      <w:r>
        <w:t>REQ-02 ban đầu thiếu trường hợp mã không hợp lệ hoặc hết hạn, nên chưa đầy đủ.</w:t>
      </w:r>
    </w:p>
    <w:p>
      <w:pPr>
        <w:pStyle w:val="ListBullet"/>
      </w:pPr>
      <w:r>
        <w:t>REQ-03 dùng các từ “nhanh chóng” và “ổn định” nhưng không có tiêu chí đo lường. Viết lại bằng thời gian phản hồi và điều kiện kiểm thử giúp yêu cầu có thể kiểm chứng.</w:t>
      </w:r>
    </w:p>
    <w:p>
      <w:pPr>
        <w:pStyle w:val="Heading1"/>
      </w:pPr>
      <w:r>
        <w:t>Bản trả lời ngắn để điền vào đề</w:t>
      </w:r>
    </w:p>
    <w:p>
      <w:r>
        <w:t>Bước 1: Mục A → Sai, đúng là 3.1.2 Product Functions (hoặc Glossary/Definitions nếu SRS có mục này). Mục B → Đúng, 3.2 Functional Requirements. Actor/Use Case → 3.1.2 Product Functions. Sequence Diagram → 3.2 Functional Requirements, gắn với REQ-02.</w:t>
      </w:r>
    </w:p>
    <w:p>
      <w:r>
        <w:t>Bước 2: REQ-02 → Vi phạm tính đầy đủ; bổ sung kiểm tra mã hợp lệ/hết hạn và cách xử lý khi không hợp lệ. REQ-03 → Vi phạm tính kiểm chứng được; thay “nhanh chóng và ổn định” bằng tiêu chí thời gian phản hồi và trạng thái giao dịch có thể kiểm thử.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