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E11D" w14:textId="77777777" w:rsidR="00CA673F" w:rsidRDefault="00000000">
      <w:pPr>
        <w:pStyle w:val="Heading1"/>
      </w:pPr>
      <w:bookmarkStart w:id="0" w:name="activhr-terms-of-service"/>
      <w:r>
        <w:t>ActivHR Terms of Service</w:t>
      </w:r>
    </w:p>
    <w:p w14:paraId="73C30540" w14:textId="447BE14B" w:rsidR="00CA673F" w:rsidRDefault="008F64AC">
      <w:pPr>
        <w:pStyle w:val="FirstParagraph"/>
      </w:pPr>
      <w:r>
        <w:rPr>
          <w:b/>
          <w:bCs/>
        </w:rPr>
        <w:t>12/08/2026</w:t>
      </w:r>
    </w:p>
    <w:p w14:paraId="1BAD61DC" w14:textId="76083EA2" w:rsidR="00CA673F" w:rsidRDefault="00000000">
      <w:pPr>
        <w:pStyle w:val="BodyText"/>
      </w:pPr>
      <w:r>
        <w:t>These Terms of Service (“</w:t>
      </w:r>
      <w:r>
        <w:rPr>
          <w:b/>
          <w:bCs/>
        </w:rPr>
        <w:t>Terms</w:t>
      </w:r>
      <w:r>
        <w:t>”) govern access to and use of ActivHR (the “</w:t>
      </w:r>
      <w:r>
        <w:rPr>
          <w:b/>
          <w:bCs/>
        </w:rPr>
        <w:t>Service</w:t>
      </w:r>
      <w:r>
        <w:t xml:space="preserve">”), provided by </w:t>
      </w:r>
      <w:r w:rsidR="008F64AC">
        <w:rPr>
          <w:b/>
          <w:bCs/>
        </w:rPr>
        <w:t xml:space="preserve">PRIORITY ACTIVATOR CONSULTING </w:t>
      </w:r>
      <w:r>
        <w:t xml:space="preserve">a company registered in Kenya with its registered office at </w:t>
      </w:r>
      <w:r w:rsidR="008F64AC">
        <w:rPr>
          <w:b/>
          <w:bCs/>
        </w:rPr>
        <w:t xml:space="preserve">JASMINE </w:t>
      </w:r>
      <w:proofErr w:type="gramStart"/>
      <w:r w:rsidR="008F64AC">
        <w:rPr>
          <w:b/>
          <w:bCs/>
        </w:rPr>
        <w:t>CENTER,WESTLANDS</w:t>
      </w:r>
      <w:proofErr w:type="gramEnd"/>
      <w:r>
        <w:t xml:space="preserve"> (“</w:t>
      </w:r>
      <w:r>
        <w:rPr>
          <w:b/>
          <w:bCs/>
        </w:rPr>
        <w:t>PAC Africa</w:t>
      </w:r>
      <w:r>
        <w:t>”, “</w:t>
      </w:r>
      <w:r>
        <w:rPr>
          <w:b/>
          <w:bCs/>
        </w:rPr>
        <w:t>we</w:t>
      </w:r>
      <w:r>
        <w:t>”, “</w:t>
      </w:r>
      <w:r>
        <w:rPr>
          <w:b/>
          <w:bCs/>
        </w:rPr>
        <w:t>us</w:t>
      </w:r>
      <w:r>
        <w:t>”), by the organisation identified on the applicable Order Form (“</w:t>
      </w:r>
      <w:r>
        <w:rPr>
          <w:b/>
          <w:bCs/>
        </w:rPr>
        <w:t>Client</w:t>
      </w:r>
      <w:r>
        <w:t>”, “</w:t>
      </w:r>
      <w:r>
        <w:rPr>
          <w:b/>
          <w:bCs/>
        </w:rPr>
        <w:t>you</w:t>
      </w:r>
      <w:r>
        <w:t>”).</w:t>
      </w:r>
    </w:p>
    <w:p w14:paraId="65900744" w14:textId="77777777" w:rsidR="00CA673F" w:rsidRDefault="00000000">
      <w:pPr>
        <w:pStyle w:val="BodyText"/>
      </w:pPr>
      <w:r>
        <w:t>These Terms apply to the Client organisation only. Employees and other individuals whose attendance or personal data is processed through the Service (“</w:t>
      </w:r>
      <w:r>
        <w:rPr>
          <w:b/>
          <w:bCs/>
        </w:rPr>
        <w:t>Users</w:t>
      </w:r>
      <w:r>
        <w:t xml:space="preserve">”) are governed by the separate </w:t>
      </w:r>
      <w:r>
        <w:rPr>
          <w:b/>
          <w:bCs/>
        </w:rPr>
        <w:t>ActivHR Employee Notice</w:t>
      </w:r>
      <w:r>
        <w:t>, available at actichr.africa/employee-notice, and do not enter into a contract with PAC Africa by using the Service.</w:t>
      </w:r>
    </w:p>
    <w:p w14:paraId="6173AD71" w14:textId="77777777" w:rsidR="00CA673F" w:rsidRDefault="00000000">
      <w:pPr>
        <w:pStyle w:val="BodyText"/>
      </w:pPr>
      <w:r>
        <w:t>By clicking “I Accept,” signing an Order Form, or otherwise accessing or using the Service, the individual accepting on behalf of the Client represents that they are authorised to bind the Client to these Terms.</w:t>
      </w:r>
    </w:p>
    <w:p w14:paraId="2DD1BDEA" w14:textId="77777777" w:rsidR="00CA673F" w:rsidRDefault="00000000">
      <w:r>
        <w:pict w14:anchorId="6ABC0025">
          <v:rect id="_x0000_i1025" style="width:0;height:1.5pt" o:hralign="center" o:hrstd="t" o:hr="t"/>
        </w:pict>
      </w:r>
    </w:p>
    <w:p w14:paraId="626F8921" w14:textId="77777777" w:rsidR="00CA673F" w:rsidRDefault="00000000">
      <w:pPr>
        <w:pStyle w:val="Heading2"/>
      </w:pPr>
      <w:bookmarkStart w:id="1" w:name="definitions"/>
      <w:r>
        <w:t>1. Definitions</w:t>
      </w:r>
    </w:p>
    <w:p w14:paraId="6BECAFFF" w14:textId="77777777" w:rsidR="00CA673F" w:rsidRDefault="00000000">
      <w:pPr>
        <w:pStyle w:val="Compact"/>
        <w:numPr>
          <w:ilvl w:val="0"/>
          <w:numId w:val="2"/>
        </w:numPr>
      </w:pPr>
      <w:r>
        <w:rPr>
          <w:b/>
          <w:bCs/>
        </w:rPr>
        <w:t>“Order Form”</w:t>
      </w:r>
      <w:r>
        <w:t xml:space="preserve"> means a document, online signup, or ordering page specifying the subscription plan, fees, and term, which incorporates these Terms by reference.</w:t>
      </w:r>
    </w:p>
    <w:p w14:paraId="7228B0E3" w14:textId="77777777" w:rsidR="00CA673F" w:rsidRDefault="00000000">
      <w:pPr>
        <w:pStyle w:val="Compact"/>
        <w:numPr>
          <w:ilvl w:val="0"/>
          <w:numId w:val="2"/>
        </w:numPr>
      </w:pPr>
      <w:r>
        <w:rPr>
          <w:b/>
          <w:bCs/>
        </w:rPr>
        <w:t>“Personal Data”</w:t>
      </w:r>
      <w:r>
        <w:t xml:space="preserve">, </w:t>
      </w:r>
      <w:r>
        <w:rPr>
          <w:b/>
          <w:bCs/>
        </w:rPr>
        <w:t>“Processing”</w:t>
      </w:r>
      <w:r>
        <w:t xml:space="preserve">, </w:t>
      </w:r>
      <w:r>
        <w:rPr>
          <w:b/>
          <w:bCs/>
        </w:rPr>
        <w:t>“Data Controller”</w:t>
      </w:r>
      <w:r>
        <w:t xml:space="preserve">, </w:t>
      </w:r>
      <w:r>
        <w:rPr>
          <w:b/>
          <w:bCs/>
        </w:rPr>
        <w:t>“Data Processor”</w:t>
      </w:r>
      <w:r>
        <w:t xml:space="preserve">, and </w:t>
      </w:r>
      <w:r>
        <w:rPr>
          <w:b/>
          <w:bCs/>
        </w:rPr>
        <w:t>“Data Subject”</w:t>
      </w:r>
      <w:r>
        <w:t xml:space="preserve"> have the meanings given in the Kenya Data Protection Act, 2019 (“</w:t>
      </w:r>
      <w:r>
        <w:rPr>
          <w:b/>
          <w:bCs/>
        </w:rPr>
        <w:t>the Act</w:t>
      </w:r>
      <w:r>
        <w:t>”).</w:t>
      </w:r>
    </w:p>
    <w:p w14:paraId="1E16D9FF" w14:textId="77777777" w:rsidR="00CA673F" w:rsidRDefault="00000000">
      <w:pPr>
        <w:pStyle w:val="Compact"/>
        <w:numPr>
          <w:ilvl w:val="0"/>
          <w:numId w:val="2"/>
        </w:numPr>
      </w:pPr>
      <w:r>
        <w:rPr>
          <w:b/>
          <w:bCs/>
        </w:rPr>
        <w:t>“Biometric Data”</w:t>
      </w:r>
      <w:r>
        <w:t xml:space="preserve"> means fingerprint templates or other biometric identifiers collected via the Service’s optional biometric roll-call feature, and constitutes sensitive personal data under the Act.</w:t>
      </w:r>
    </w:p>
    <w:p w14:paraId="6DB5C3E8" w14:textId="77777777" w:rsidR="00CA673F" w:rsidRDefault="00000000">
      <w:pPr>
        <w:pStyle w:val="Compact"/>
        <w:numPr>
          <w:ilvl w:val="0"/>
          <w:numId w:val="2"/>
        </w:numPr>
      </w:pPr>
      <w:r>
        <w:rPr>
          <w:b/>
          <w:bCs/>
        </w:rPr>
        <w:t>“Client Data”</w:t>
      </w:r>
      <w:r>
        <w:t xml:space="preserve"> means all Personal Data and other data submitted to, or generated within, the Service by or on behalf of the Client, including attendance records and any Biometric Data.</w:t>
      </w:r>
    </w:p>
    <w:p w14:paraId="712984ED" w14:textId="77777777" w:rsidR="00CA673F" w:rsidRDefault="00000000">
      <w:pPr>
        <w:pStyle w:val="Compact"/>
        <w:numPr>
          <w:ilvl w:val="0"/>
          <w:numId w:val="2"/>
        </w:numPr>
      </w:pPr>
      <w:r>
        <w:rPr>
          <w:b/>
          <w:bCs/>
        </w:rPr>
        <w:t>“Sub-processor”</w:t>
      </w:r>
      <w:r>
        <w:t xml:space="preserve"> means a third party engaged by PAC Africa to process Client Data on PAC Africa’s behalf.</w:t>
      </w:r>
    </w:p>
    <w:p w14:paraId="60DD7CCB" w14:textId="77777777" w:rsidR="00CA673F" w:rsidRDefault="00000000">
      <w:pPr>
        <w:pStyle w:val="Heading2"/>
      </w:pPr>
      <w:bookmarkStart w:id="2" w:name="the-service"/>
      <w:bookmarkEnd w:id="1"/>
      <w:r>
        <w:t>2. The Service</w:t>
      </w:r>
    </w:p>
    <w:p w14:paraId="2C096BF6" w14:textId="77777777" w:rsidR="00CA673F" w:rsidRDefault="00000000">
      <w:pPr>
        <w:pStyle w:val="FirstParagraph"/>
      </w:pPr>
      <w:r>
        <w:t>2.1 PAC Africa will provide the Service in accordance with the plan specified in the applicable Order Form, including attendance tracking, reporting, and, where enabled by the Client, biometric roll-call.</w:t>
      </w:r>
    </w:p>
    <w:p w14:paraId="007F8BA5" w14:textId="09DE35E1" w:rsidR="00CA673F" w:rsidRDefault="00000000">
      <w:pPr>
        <w:pStyle w:val="BodyText"/>
      </w:pPr>
      <w:proofErr w:type="gramStart"/>
      <w:r>
        <w:t xml:space="preserve">2.2 </w:t>
      </w:r>
      <w:r>
        <w:rPr>
          <w:b/>
          <w:bCs/>
        </w:rPr>
        <w:t xml:space="preserve"> Service</w:t>
      </w:r>
      <w:proofErr w:type="gramEnd"/>
      <w:r>
        <w:rPr>
          <w:b/>
          <w:bCs/>
        </w:rPr>
        <w:t xml:space="preserve"> Level </w:t>
      </w:r>
      <w:proofErr w:type="gramStart"/>
      <w:r>
        <w:rPr>
          <w:b/>
          <w:bCs/>
        </w:rPr>
        <w:t>Commitment</w:t>
      </w:r>
      <w:r>
        <w:t xml:space="preserve"> ,</w:t>
      </w:r>
      <w:proofErr w:type="gramEnd"/>
      <w:r>
        <w:t xml:space="preserve"> e.g. “PAC Africa will use commercially reasonable efforts to maintain [</w:t>
      </w:r>
      <w:proofErr w:type="gramStart"/>
      <w:r>
        <w:t>99.X]%</w:t>
      </w:r>
      <w:proofErr w:type="gramEnd"/>
      <w:r>
        <w:t xml:space="preserve"> uptime, excluding scheduled maintenance.” </w:t>
      </w:r>
      <w:r>
        <w:rPr>
          <w:i/>
          <w:iCs/>
        </w:rPr>
        <w:t>(Leave as “no formal SLA for this plan tier” if not yet defined , do not leave silently blank.)</w:t>
      </w:r>
    </w:p>
    <w:p w14:paraId="381CF329" w14:textId="77777777" w:rsidR="00CA673F" w:rsidRDefault="00000000">
      <w:pPr>
        <w:pStyle w:val="BodyText"/>
      </w:pPr>
      <w:r>
        <w:lastRenderedPageBreak/>
        <w:t>2.3 PAC Africa may modify or update the Service’s features from time to time, provided such changes do not materially reduce the core functionality the Client has subscribed to without reasonable notice.</w:t>
      </w:r>
    </w:p>
    <w:p w14:paraId="49A94AE8" w14:textId="77777777" w:rsidR="00CA673F" w:rsidRDefault="00000000">
      <w:pPr>
        <w:pStyle w:val="BodyText"/>
      </w:pPr>
      <w:r>
        <w:t xml:space="preserve">2.4 Support: </w:t>
      </w:r>
      <w:r>
        <w:rPr>
          <w:b/>
          <w:bCs/>
        </w:rPr>
        <w:t>[[PLACEHOLDER: support channel and response-time commitment, if any]]</w:t>
      </w:r>
      <w:r>
        <w:t>.</w:t>
      </w:r>
    </w:p>
    <w:p w14:paraId="7EAB7181" w14:textId="77777777" w:rsidR="00CA673F" w:rsidRDefault="00000000">
      <w:pPr>
        <w:pStyle w:val="Heading2"/>
      </w:pPr>
      <w:bookmarkStart w:id="3" w:name="data-protection-and-processing-roles"/>
      <w:bookmarkEnd w:id="2"/>
      <w:r>
        <w:t>3. Data Protection and Processing Roles</w:t>
      </w:r>
    </w:p>
    <w:p w14:paraId="122E7028" w14:textId="77777777" w:rsidR="00CA673F" w:rsidRDefault="00000000">
      <w:pPr>
        <w:pStyle w:val="FirstParagraph"/>
      </w:pPr>
      <w:r>
        <w:t xml:space="preserve">3.1 </w:t>
      </w:r>
      <w:r>
        <w:rPr>
          <w:b/>
          <w:bCs/>
        </w:rPr>
        <w:t>Roles.</w:t>
      </w:r>
      <w:r>
        <w:t xml:space="preserve"> [[PLACEHOLDER pending L1 legal opinion: confirm and insert , the presumed default position is that the Client is the Data Controller in respect of its employees’ Personal Data, and PAC Africa is the Data Processor, acting only on the Client’s documented instructions. This clause must not be finalised until counsel confirms this characterisation applies to your deployment model.]]</w:t>
      </w:r>
    </w:p>
    <w:p w14:paraId="1A915F9D" w14:textId="77777777" w:rsidR="00CA673F" w:rsidRDefault="00000000">
      <w:pPr>
        <w:pStyle w:val="BodyText"/>
      </w:pPr>
      <w:r>
        <w:t xml:space="preserve">3.2 </w:t>
      </w:r>
      <w:r>
        <w:rPr>
          <w:b/>
          <w:bCs/>
        </w:rPr>
        <w:t>Processing instructions.</w:t>
      </w:r>
      <w:r>
        <w:t xml:space="preserve"> PAC Africa will Process Client Data solely to provide the Service and in accordance with the Client’s instructions as set out in these Terms, the Order Form, and the Client’s configuration of the Service (e.g. enabling or disabling biometric roll-call).</w:t>
      </w:r>
    </w:p>
    <w:p w14:paraId="560DBC89" w14:textId="77777777" w:rsidR="00CA673F" w:rsidRDefault="00000000">
      <w:pPr>
        <w:pStyle w:val="BodyText"/>
      </w:pPr>
      <w:r>
        <w:t xml:space="preserve">3.3 </w:t>
      </w:r>
      <w:r>
        <w:rPr>
          <w:b/>
          <w:bCs/>
        </w:rPr>
        <w:t>Sub-processors.</w:t>
      </w:r>
      <w:r>
        <w:t xml:space="preserve"> The Client authorises PAC Africa to engage the following Sub-processors, each bound by contractual data protection obligations no less protective than this Section:</w:t>
      </w:r>
    </w:p>
    <w:tbl>
      <w:tblPr>
        <w:tblStyle w:val="Table"/>
        <w:tblW w:w="5000" w:type="pct"/>
        <w:tblLook w:val="0020" w:firstRow="1" w:lastRow="0" w:firstColumn="0" w:lastColumn="0" w:noHBand="0" w:noVBand="0"/>
      </w:tblPr>
      <w:tblGrid>
        <w:gridCol w:w="4449"/>
        <w:gridCol w:w="5127"/>
      </w:tblGrid>
      <w:tr w:rsidR="00CA673F" w14:paraId="6C993485" w14:textId="77777777" w:rsidTr="00CA673F">
        <w:trPr>
          <w:cnfStyle w:val="100000000000" w:firstRow="1" w:lastRow="0" w:firstColumn="0" w:lastColumn="0" w:oddVBand="0" w:evenVBand="0" w:oddHBand="0" w:evenHBand="0" w:firstRowFirstColumn="0" w:firstRowLastColumn="0" w:lastRowFirstColumn="0" w:lastRowLastColumn="0"/>
          <w:tblHeader/>
        </w:trPr>
        <w:tc>
          <w:tcPr>
            <w:tcW w:w="0" w:type="auto"/>
          </w:tcPr>
          <w:p w14:paraId="6806BDF1" w14:textId="77777777" w:rsidR="00CA673F" w:rsidRDefault="00000000">
            <w:pPr>
              <w:pStyle w:val="Compact"/>
            </w:pPr>
            <w:r>
              <w:t>Sub-processor</w:t>
            </w:r>
          </w:p>
        </w:tc>
        <w:tc>
          <w:tcPr>
            <w:tcW w:w="0" w:type="auto"/>
          </w:tcPr>
          <w:p w14:paraId="65B1AF26" w14:textId="77777777" w:rsidR="00CA673F" w:rsidRDefault="00000000">
            <w:pPr>
              <w:pStyle w:val="Compact"/>
            </w:pPr>
            <w:r>
              <w:t>Purpose</w:t>
            </w:r>
          </w:p>
        </w:tc>
      </w:tr>
      <w:tr w:rsidR="00CA673F" w14:paraId="562BF7C5" w14:textId="77777777">
        <w:tc>
          <w:tcPr>
            <w:tcW w:w="0" w:type="auto"/>
          </w:tcPr>
          <w:p w14:paraId="4C80CBDA" w14:textId="77777777" w:rsidR="00CA673F" w:rsidRDefault="00000000">
            <w:pPr>
              <w:pStyle w:val="Compact"/>
            </w:pPr>
            <w:r>
              <w:t>Supabase</w:t>
            </w:r>
          </w:p>
        </w:tc>
        <w:tc>
          <w:tcPr>
            <w:tcW w:w="0" w:type="auto"/>
          </w:tcPr>
          <w:p w14:paraId="041935A7" w14:textId="77777777" w:rsidR="00CA673F" w:rsidRDefault="00000000">
            <w:pPr>
              <w:pStyle w:val="Compact"/>
            </w:pPr>
            <w:r>
              <w:t>Database hosting and storage</w:t>
            </w:r>
          </w:p>
        </w:tc>
      </w:tr>
      <w:tr w:rsidR="00CA673F" w14:paraId="0852F234" w14:textId="77777777">
        <w:tc>
          <w:tcPr>
            <w:tcW w:w="0" w:type="auto"/>
          </w:tcPr>
          <w:p w14:paraId="6FCD31EE" w14:textId="77777777" w:rsidR="00CA673F" w:rsidRDefault="00000000">
            <w:pPr>
              <w:pStyle w:val="Compact"/>
            </w:pPr>
            <w:r>
              <w:t>Vercel</w:t>
            </w:r>
          </w:p>
        </w:tc>
        <w:tc>
          <w:tcPr>
            <w:tcW w:w="0" w:type="auto"/>
          </w:tcPr>
          <w:p w14:paraId="2E0170D9" w14:textId="77777777" w:rsidR="00CA673F" w:rsidRDefault="00000000">
            <w:pPr>
              <w:pStyle w:val="Compact"/>
            </w:pPr>
            <w:r>
              <w:t>Application hosting</w:t>
            </w:r>
          </w:p>
        </w:tc>
      </w:tr>
      <w:tr w:rsidR="00CA673F" w14:paraId="25BFD7FC" w14:textId="77777777">
        <w:tc>
          <w:tcPr>
            <w:tcW w:w="0" w:type="auto"/>
          </w:tcPr>
          <w:p w14:paraId="71225F4C" w14:textId="77777777" w:rsidR="00CA673F" w:rsidRDefault="00000000">
            <w:pPr>
              <w:pStyle w:val="Compact"/>
            </w:pPr>
            <w:r>
              <w:t>Resend</w:t>
            </w:r>
          </w:p>
        </w:tc>
        <w:tc>
          <w:tcPr>
            <w:tcW w:w="0" w:type="auto"/>
          </w:tcPr>
          <w:p w14:paraId="4EAEDF78" w14:textId="77777777" w:rsidR="00CA673F" w:rsidRDefault="00000000">
            <w:pPr>
              <w:pStyle w:val="Compact"/>
            </w:pPr>
            <w:r>
              <w:t>Transactional email delivery</w:t>
            </w:r>
          </w:p>
        </w:tc>
      </w:tr>
      <w:tr w:rsidR="00CA673F" w14:paraId="77B64C8C" w14:textId="77777777">
        <w:tc>
          <w:tcPr>
            <w:tcW w:w="0" w:type="auto"/>
          </w:tcPr>
          <w:p w14:paraId="4BCDACC6" w14:textId="77777777" w:rsidR="00CA673F" w:rsidRDefault="00000000">
            <w:pPr>
              <w:pStyle w:val="Compact"/>
            </w:pPr>
            <w:r>
              <w:t>Google</w:t>
            </w:r>
          </w:p>
        </w:tc>
        <w:tc>
          <w:tcPr>
            <w:tcW w:w="0" w:type="auto"/>
          </w:tcPr>
          <w:p w14:paraId="2C69F3AF" w14:textId="77777777" w:rsidR="00CA673F" w:rsidRDefault="00000000">
            <w:pPr>
              <w:pStyle w:val="Compact"/>
            </w:pPr>
            <w:r>
              <w:rPr>
                <w:b/>
                <w:bCs/>
              </w:rPr>
              <w:t>[[PLACEHOLDER: specify purpose , e.g. authentication, maps, analytics]]</w:t>
            </w:r>
          </w:p>
        </w:tc>
      </w:tr>
      <w:tr w:rsidR="00CA673F" w14:paraId="3E9ABA08" w14:textId="77777777">
        <w:tc>
          <w:tcPr>
            <w:tcW w:w="0" w:type="auto"/>
          </w:tcPr>
          <w:p w14:paraId="27A39E1B" w14:textId="77777777" w:rsidR="00CA673F" w:rsidRDefault="00000000">
            <w:pPr>
              <w:pStyle w:val="Compact"/>
            </w:pPr>
            <w:r>
              <w:rPr>
                <w:b/>
                <w:bCs/>
              </w:rPr>
              <w:t>[[PLACEHOLDER: any others , SMS/push provider, analytics]]</w:t>
            </w:r>
          </w:p>
        </w:tc>
        <w:tc>
          <w:tcPr>
            <w:tcW w:w="0" w:type="auto"/>
          </w:tcPr>
          <w:p w14:paraId="4AF54667" w14:textId="77777777" w:rsidR="00CA673F" w:rsidRDefault="00CA673F">
            <w:pPr>
              <w:pStyle w:val="Compact"/>
            </w:pPr>
          </w:p>
        </w:tc>
      </w:tr>
    </w:tbl>
    <w:p w14:paraId="50DF8BDD" w14:textId="77777777" w:rsidR="00CA673F" w:rsidRDefault="00000000">
      <w:pPr>
        <w:pStyle w:val="BodyText"/>
      </w:pPr>
      <w:r>
        <w:t xml:space="preserve">PAC Africa will notify the Client at least </w:t>
      </w:r>
      <w:r>
        <w:rPr>
          <w:b/>
          <w:bCs/>
        </w:rPr>
        <w:t>[[PLACEHOLDER: e.g. 14 days]]</w:t>
      </w:r>
      <w:r>
        <w:t xml:space="preserve"> in advance of adding or replacing a Sub-processor with access to Client Data, and the Client may object on reasonable data-protection grounds.</w:t>
      </w:r>
    </w:p>
    <w:p w14:paraId="2B0577A6" w14:textId="77777777" w:rsidR="00CA673F" w:rsidRDefault="00000000">
      <w:pPr>
        <w:pStyle w:val="BodyText"/>
      </w:pPr>
      <w:r>
        <w:t xml:space="preserve">3.4 </w:t>
      </w:r>
      <w:r>
        <w:rPr>
          <w:b/>
          <w:bCs/>
        </w:rPr>
        <w:t>Client warranties.</w:t>
      </w:r>
      <w:r>
        <w:t xml:space="preserve"> The Client warrants that it has, and will maintain throughout the term, a valid lawful basis under the Act for the collection and Processing of its Users’ Personal Data via the Service, including , where biometric roll-call is enabled , having provided Users with the notice and obtained the explicit consent required for sensitive personal data. PAC Africa’s provision of the consent-capture flow within the Service supports but does not substitute for the Client’s own compliance obligations as employer.</w:t>
      </w:r>
    </w:p>
    <w:p w14:paraId="0BCBF765" w14:textId="77777777" w:rsidR="00CA673F" w:rsidRDefault="00000000">
      <w:pPr>
        <w:pStyle w:val="BodyText"/>
      </w:pPr>
      <w:r>
        <w:t xml:space="preserve">3.5 </w:t>
      </w:r>
      <w:r>
        <w:rPr>
          <w:b/>
          <w:bCs/>
        </w:rPr>
        <w:t>Security.</w:t>
      </w:r>
      <w:r>
        <w:t xml:space="preserve"> PAC Africa will implement appropriate technical and organisational measures to protect Client Data against unauthorised access, loss, or destruction, consistent with the Act’s security requirements.</w:t>
      </w:r>
    </w:p>
    <w:p w14:paraId="2ADE9A3C" w14:textId="77777777" w:rsidR="00CA673F" w:rsidRDefault="00000000">
      <w:pPr>
        <w:pStyle w:val="BodyText"/>
      </w:pPr>
      <w:r>
        <w:lastRenderedPageBreak/>
        <w:t xml:space="preserve">3.6 </w:t>
      </w:r>
      <w:r>
        <w:rPr>
          <w:b/>
          <w:bCs/>
        </w:rPr>
        <w:t>Breach notification.</w:t>
      </w:r>
      <w:r>
        <w:t xml:space="preserve"> PAC Africa will notify the Client without undue delay, and in any event within </w:t>
      </w:r>
      <w:r>
        <w:rPr>
          <w:b/>
          <w:bCs/>
        </w:rPr>
        <w:t>[[PLACEHOLDER: e.g. 72 hours]]</w:t>
      </w:r>
      <w:r>
        <w:t xml:space="preserve"> of becoming aware, of any Personal Data breach affecting Client Data, to enable the Client to meet its own notification obligations to the Office of the Data Protection Commissioner (ODPC) and affected Users.</w:t>
      </w:r>
    </w:p>
    <w:p w14:paraId="38CFC0A5" w14:textId="77777777" w:rsidR="00CA673F" w:rsidRDefault="00000000">
      <w:pPr>
        <w:pStyle w:val="BodyText"/>
      </w:pPr>
      <w:r>
        <w:t xml:space="preserve">3.7 </w:t>
      </w:r>
      <w:r>
        <w:rPr>
          <w:b/>
          <w:bCs/>
        </w:rPr>
        <w:t>Data Processing Agreement.</w:t>
      </w:r>
      <w:r>
        <w:t xml:space="preserve"> The parties agree that the data processing terms in this Section 3, together with Schedule A (Data Processing Agreement) </w:t>
      </w:r>
      <w:r>
        <w:rPr>
          <w:b/>
          <w:bCs/>
        </w:rPr>
        <w:t>[[PLACEHOLDER: attach as separate schedule if more detail is required than fits here]]</w:t>
      </w:r>
      <w:r>
        <w:t>, constitute the Data Processing Agreement required under the Act.</w:t>
      </w:r>
    </w:p>
    <w:p w14:paraId="151E5369" w14:textId="77777777" w:rsidR="00CA673F" w:rsidRDefault="00000000">
      <w:pPr>
        <w:pStyle w:val="BodyText"/>
      </w:pPr>
      <w:r>
        <w:t xml:space="preserve">3.8 </w:t>
      </w:r>
      <w:r>
        <w:rPr>
          <w:b/>
          <w:bCs/>
        </w:rPr>
        <w:t>Retention and deletion.</w:t>
      </w:r>
      <w:r>
        <w:t xml:space="preserve"> Client Data is retained in accordance with PAC Africa’s published retention schedule (see Privacy Policy, actichr.africa/privacy) and automatically deleted upon expiry of each retention window. Current windows: </w:t>
      </w:r>
      <w:r>
        <w:rPr>
          <w:b/>
          <w:bCs/>
        </w:rPr>
        <w:t>[[PLACEHOLDER pending L4: e.g. attendance records , 24 months; audit logs , X months; deleted employee records , X months; biometric templates , X months]]</w:t>
      </w:r>
      <w:r>
        <w:t>.</w:t>
      </w:r>
    </w:p>
    <w:p w14:paraId="477291F9" w14:textId="77777777" w:rsidR="00CA673F" w:rsidRDefault="00000000">
      <w:pPr>
        <w:pStyle w:val="Heading2"/>
      </w:pPr>
      <w:bookmarkStart w:id="4" w:name="client-obligations"/>
      <w:bookmarkEnd w:id="3"/>
      <w:r>
        <w:t>4. Client Obligations</w:t>
      </w:r>
    </w:p>
    <w:p w14:paraId="1156EB74" w14:textId="77777777" w:rsidR="00CA673F" w:rsidRDefault="00000000">
      <w:pPr>
        <w:pStyle w:val="FirstParagraph"/>
      </w:pPr>
      <w:r>
        <w:t>4.1 The Client is responsible for the accuracy of data it inputs or configures within the Service.</w:t>
      </w:r>
    </w:p>
    <w:p w14:paraId="4E938D7E" w14:textId="77777777" w:rsidR="00CA673F" w:rsidRDefault="00000000">
      <w:pPr>
        <w:pStyle w:val="BodyText"/>
      </w:pPr>
      <w:r>
        <w:t>4.2 The Client will not use the Service for any unlawful surveillance purpose or in a manner inconsistent with the Act or applicable Kenyan employment law.</w:t>
      </w:r>
    </w:p>
    <w:p w14:paraId="0DA7F823" w14:textId="77777777" w:rsidR="00CA673F" w:rsidRDefault="00000000">
      <w:pPr>
        <w:pStyle w:val="BodyText"/>
      </w:pPr>
      <w:r>
        <w:t>4.3 The Client is responsible for managing its own Users’ access credentials and for promptly deactivating access for Users who leave the organisation.</w:t>
      </w:r>
    </w:p>
    <w:p w14:paraId="7FE716A0" w14:textId="77777777" w:rsidR="00CA673F" w:rsidRDefault="00000000">
      <w:pPr>
        <w:pStyle w:val="Heading2"/>
      </w:pPr>
      <w:bookmarkStart w:id="5" w:name="acceptable-use"/>
      <w:bookmarkEnd w:id="4"/>
      <w:r>
        <w:t>5. Acceptable Use</w:t>
      </w:r>
    </w:p>
    <w:p w14:paraId="5F5BF601" w14:textId="77777777" w:rsidR="00CA673F" w:rsidRDefault="00000000">
      <w:pPr>
        <w:pStyle w:val="FirstParagraph"/>
      </w:pPr>
      <w:r>
        <w:t>The Client will not, and will not permit any User to: reverse-engineer or attempt to extract source code from the Service; resell, sublicense, or provide third-party access to the Service without PAC Africa’s written consent; use the Service to store or transmit unlawful content; or attempt to circumvent rate limits, security controls, or access restrictions.</w:t>
      </w:r>
    </w:p>
    <w:p w14:paraId="65F96432" w14:textId="77777777" w:rsidR="00CA673F" w:rsidRDefault="00000000">
      <w:pPr>
        <w:pStyle w:val="Heading2"/>
      </w:pPr>
      <w:bookmarkStart w:id="6" w:name="fees-and-payment"/>
      <w:bookmarkEnd w:id="5"/>
      <w:r>
        <w:t>6. Fees and Payment</w:t>
      </w:r>
    </w:p>
    <w:p w14:paraId="2B85B838" w14:textId="77777777" w:rsidR="00CA673F" w:rsidRDefault="00000000">
      <w:pPr>
        <w:pStyle w:val="FirstParagraph"/>
      </w:pPr>
      <w:r>
        <w:t xml:space="preserve">6.1 Fees are as set out in the applicable Order Form. </w:t>
      </w:r>
      <w:r>
        <w:rPr>
          <w:b/>
          <w:bCs/>
        </w:rPr>
        <w:t>[[PLACEHOLDER: payment terms , e.g. net 30, invoicing cadence, currency]]</w:t>
      </w:r>
      <w:r>
        <w:t>.</w:t>
      </w:r>
    </w:p>
    <w:p w14:paraId="43F8FEF5" w14:textId="77777777" w:rsidR="00CA673F" w:rsidRDefault="00000000">
      <w:pPr>
        <w:pStyle w:val="BodyText"/>
      </w:pPr>
      <w:r>
        <w:t xml:space="preserve">6.2 </w:t>
      </w:r>
      <w:r>
        <w:rPr>
          <w:b/>
          <w:bCs/>
        </w:rPr>
        <w:t>[[PLACEHOLDER: consequences of non-payment , e.g. suspension after X days overdue]]</w:t>
      </w:r>
      <w:r>
        <w:t>.</w:t>
      </w:r>
    </w:p>
    <w:p w14:paraId="4259C2D6" w14:textId="77777777" w:rsidR="00CA673F" w:rsidRDefault="00000000">
      <w:pPr>
        <w:pStyle w:val="Heading2"/>
      </w:pPr>
      <w:bookmarkStart w:id="7" w:name="term-and-termination"/>
      <w:bookmarkEnd w:id="6"/>
      <w:r>
        <w:t>7. Term and Termination</w:t>
      </w:r>
    </w:p>
    <w:p w14:paraId="089470AD" w14:textId="77777777" w:rsidR="00CA673F" w:rsidRDefault="00000000">
      <w:pPr>
        <w:pStyle w:val="FirstParagraph"/>
      </w:pPr>
      <w:r>
        <w:t xml:space="preserve">7.1 These Terms commence on the Effective Date and continue for the term specified in the Order Form, renewing </w:t>
      </w:r>
      <w:r>
        <w:rPr>
          <w:b/>
          <w:bCs/>
        </w:rPr>
        <w:t>[[PLACEHOLDER: automatically / by mutual agreement]]</w:t>
      </w:r>
      <w:r>
        <w:t xml:space="preserve"> unless terminated as provided below.</w:t>
      </w:r>
    </w:p>
    <w:p w14:paraId="41B343A9" w14:textId="77777777" w:rsidR="00CA673F" w:rsidRDefault="00000000">
      <w:pPr>
        <w:pStyle w:val="BodyText"/>
      </w:pPr>
      <w:r>
        <w:lastRenderedPageBreak/>
        <w:t xml:space="preserve">7.2 Either party may terminate for the other’s uncured material breach following </w:t>
      </w:r>
      <w:r>
        <w:rPr>
          <w:b/>
          <w:bCs/>
        </w:rPr>
        <w:t>[[PLACEHOLDER: e.g. 30]]</w:t>
      </w:r>
      <w:r>
        <w:t xml:space="preserve"> days’ written notice.</w:t>
      </w:r>
    </w:p>
    <w:p w14:paraId="153787AF" w14:textId="77777777" w:rsidR="00CA673F" w:rsidRDefault="00000000">
      <w:pPr>
        <w:pStyle w:val="BodyText"/>
      </w:pPr>
      <w:r>
        <w:t xml:space="preserve">7.3 </w:t>
      </w:r>
      <w:r>
        <w:rPr>
          <w:b/>
          <w:bCs/>
        </w:rPr>
        <w:t>Data on termination.</w:t>
      </w:r>
      <w:r>
        <w:t xml:space="preserve"> Upon termination or expiry, the Client may export Client Data for </w:t>
      </w:r>
      <w:r>
        <w:rPr>
          <w:b/>
          <w:bCs/>
        </w:rPr>
        <w:t>[[PLACEHOLDER: e.g. 30]]</w:t>
      </w:r>
      <w:r>
        <w:t xml:space="preserve"> days. PAC Africa will delete all remaining Client Data, including Biometric Data, within </w:t>
      </w:r>
      <w:r>
        <w:rPr>
          <w:b/>
          <w:bCs/>
        </w:rPr>
        <w:t>[[PLACEHOLDER: e.g. 60]]</w:t>
      </w:r>
      <w:r>
        <w:t xml:space="preserve"> days thereafter, except where retention is required by law. </w:t>
      </w:r>
      <w:r>
        <w:rPr>
          <w:i/>
          <w:iCs/>
        </w:rPr>
        <w:t>(These numbers must match the retention/deletion mechanics actually implemented in L4’s pg_cron jobs.)</w:t>
      </w:r>
    </w:p>
    <w:p w14:paraId="0E5CFD86" w14:textId="77777777" w:rsidR="00CA673F" w:rsidRDefault="00000000">
      <w:pPr>
        <w:pStyle w:val="Heading2"/>
      </w:pPr>
      <w:bookmarkStart w:id="8" w:name="warranties-and-disclaimers"/>
      <w:bookmarkEnd w:id="7"/>
      <w:r>
        <w:t>8. Warranties and Disclaimers</w:t>
      </w:r>
    </w:p>
    <w:p w14:paraId="2076B2F5" w14:textId="77777777" w:rsidR="00CA673F" w:rsidRDefault="00000000">
      <w:pPr>
        <w:pStyle w:val="FirstParagraph"/>
      </w:pPr>
      <w:r>
        <w:t>8.1 PAC Africa warrants it will perform the Service in a professional manner consistent with general industry standards.</w:t>
      </w:r>
    </w:p>
    <w:p w14:paraId="04BC1A1A" w14:textId="77777777" w:rsidR="00CA673F" w:rsidRDefault="00000000">
      <w:pPr>
        <w:pStyle w:val="BodyText"/>
      </w:pPr>
      <w:r>
        <w:t>8.2 EXCEPT AS EXPRESSLY STATED, THE SERVICE IS PROVIDED “AS IS” WITHOUT WARRANTIES OF ANY KIND, WHETHER EXPRESS OR IMPLIED, INCLUDING MERCHANTABILITY, FITNESS FOR A PARTICULAR PURPOSE, OR NON-INFRINGEMENT.</w:t>
      </w:r>
    </w:p>
    <w:p w14:paraId="3F421AA8" w14:textId="77777777" w:rsidR="00CA673F" w:rsidRDefault="00000000">
      <w:pPr>
        <w:pStyle w:val="Heading2"/>
      </w:pPr>
      <w:bookmarkStart w:id="9" w:name="limitation-of-liability"/>
      <w:bookmarkEnd w:id="8"/>
      <w:r>
        <w:t>9. Limitation of Liability</w:t>
      </w:r>
    </w:p>
    <w:p w14:paraId="6605763F" w14:textId="77777777" w:rsidR="00CA673F" w:rsidRDefault="00000000">
      <w:pPr>
        <w:pStyle w:val="FirstParagraph"/>
      </w:pPr>
      <w:r>
        <w:t xml:space="preserve">9.1 To the maximum extent permitted by law, neither party’s aggregate liability arising out of these Terms will exceed the fees paid by the Client in the </w:t>
      </w:r>
      <w:r>
        <w:rPr>
          <w:b/>
          <w:bCs/>
        </w:rPr>
        <w:t>[[PLACEHOLDER: e.g. 12 months]]</w:t>
      </w:r>
      <w:r>
        <w:t xml:space="preserve"> preceding the claim.</w:t>
      </w:r>
    </w:p>
    <w:p w14:paraId="7A963935" w14:textId="77777777" w:rsidR="00CA673F" w:rsidRDefault="00000000">
      <w:pPr>
        <w:pStyle w:val="BodyText"/>
      </w:pPr>
      <w:r>
        <w:t>9.2 Neither party is liable for indirect, incidental, or consequential damages.</w:t>
      </w:r>
    </w:p>
    <w:p w14:paraId="701D9CCA" w14:textId="77777777" w:rsidR="00CA673F" w:rsidRDefault="00000000">
      <w:pPr>
        <w:pStyle w:val="BodyText"/>
      </w:pPr>
      <w:r>
        <w:t xml:space="preserve">9.3 </w:t>
      </w:r>
      <w:r>
        <w:rPr>
          <w:b/>
          <w:bCs/>
        </w:rPr>
        <w:t>Carve-outs.</w:t>
      </w:r>
      <w:r>
        <w:t xml:space="preserve"> The limitations in this Section do not apply to: (a) either party’s indemnification obligations; (b) a party’s breach of its data protection obligations under Section 3 arising from its own negligence or wilful misconduct; or (c) either party’s confidentiality obligations. </w:t>
      </w:r>
      <w:r>
        <w:rPr>
          <w:b/>
          <w:bCs/>
        </w:rPr>
        <w:t>[[PLACEHOLDER: confirm cap/carve-out structure with counsel , this is the clause clients will negotiate hardest.]]</w:t>
      </w:r>
    </w:p>
    <w:p w14:paraId="3B14D902" w14:textId="77777777" w:rsidR="00CA673F" w:rsidRDefault="00000000">
      <w:pPr>
        <w:pStyle w:val="Heading2"/>
      </w:pPr>
      <w:bookmarkStart w:id="10" w:name="indemnification"/>
      <w:bookmarkEnd w:id="9"/>
      <w:r>
        <w:t>10. Indemnification</w:t>
      </w:r>
    </w:p>
    <w:p w14:paraId="29D603A9" w14:textId="77777777" w:rsidR="00CA673F" w:rsidRDefault="00000000">
      <w:pPr>
        <w:pStyle w:val="FirstParagraph"/>
      </w:pPr>
      <w:r>
        <w:rPr>
          <w:b/>
          <w:bCs/>
        </w:rPr>
        <w:t>[[PLACEHOLDER: standard mutual IP/data-breach indemnification language , insert once liability structure in Section 9 is finalised]]</w:t>
      </w:r>
    </w:p>
    <w:p w14:paraId="12572D62" w14:textId="77777777" w:rsidR="00CA673F" w:rsidRDefault="00000000">
      <w:pPr>
        <w:pStyle w:val="Heading2"/>
      </w:pPr>
      <w:bookmarkStart w:id="11" w:name="confidentiality"/>
      <w:bookmarkEnd w:id="10"/>
      <w:r>
        <w:t>11. Confidentiality</w:t>
      </w:r>
    </w:p>
    <w:p w14:paraId="3574CAEA" w14:textId="77777777" w:rsidR="00CA673F" w:rsidRDefault="00000000">
      <w:pPr>
        <w:pStyle w:val="FirstParagraph"/>
      </w:pPr>
      <w:r>
        <w:t>Each party will protect the other’s confidential information with the same degree of care it uses for its own confidential information, and not less than reasonable care.</w:t>
      </w:r>
    </w:p>
    <w:p w14:paraId="5C994354" w14:textId="77777777" w:rsidR="00CA673F" w:rsidRDefault="00000000">
      <w:pPr>
        <w:pStyle w:val="Heading2"/>
      </w:pPr>
      <w:bookmarkStart w:id="12" w:name="general"/>
      <w:bookmarkEnd w:id="11"/>
      <w:r>
        <w:t>12. General</w:t>
      </w:r>
    </w:p>
    <w:p w14:paraId="7EB8E2ED" w14:textId="77777777" w:rsidR="00CA673F" w:rsidRDefault="00000000">
      <w:pPr>
        <w:pStyle w:val="FirstParagraph"/>
      </w:pPr>
      <w:r>
        <w:t xml:space="preserve">12.1 </w:t>
      </w:r>
      <w:r>
        <w:rPr>
          <w:b/>
          <w:bCs/>
        </w:rPr>
        <w:t>Governing law.</w:t>
      </w:r>
      <w:r>
        <w:t xml:space="preserve"> These Terms are governed by the laws of the Republic of Kenya.</w:t>
      </w:r>
    </w:p>
    <w:p w14:paraId="15E69024" w14:textId="77777777" w:rsidR="00CA673F" w:rsidRDefault="00000000">
      <w:pPr>
        <w:pStyle w:val="BodyText"/>
      </w:pPr>
      <w:r>
        <w:t xml:space="preserve">12.2 </w:t>
      </w:r>
      <w:r>
        <w:rPr>
          <w:b/>
          <w:bCs/>
        </w:rPr>
        <w:t>Dispute resolution.</w:t>
      </w:r>
      <w:r>
        <w:t xml:space="preserve"> </w:t>
      </w:r>
      <w:r>
        <w:rPr>
          <w:b/>
          <w:bCs/>
        </w:rPr>
        <w:t>[[PLACEHOLDER: courts of Kenya / arbitration seat and rules, if preferred]]</w:t>
      </w:r>
      <w:r>
        <w:t>.</w:t>
      </w:r>
    </w:p>
    <w:p w14:paraId="49347A3D" w14:textId="77777777" w:rsidR="00CA673F" w:rsidRDefault="00000000">
      <w:pPr>
        <w:pStyle w:val="BodyText"/>
      </w:pPr>
      <w:r>
        <w:lastRenderedPageBreak/>
        <w:t xml:space="preserve">12.3 </w:t>
      </w:r>
      <w:r>
        <w:rPr>
          <w:b/>
          <w:bCs/>
        </w:rPr>
        <w:t>Assignment.</w:t>
      </w:r>
      <w:r>
        <w:t xml:space="preserve"> Neither party may assign these Terms without the other’s consent, except in connection with a merger or sale of substantially all assets.</w:t>
      </w:r>
    </w:p>
    <w:p w14:paraId="7D4242BC" w14:textId="77777777" w:rsidR="00CA673F" w:rsidRDefault="00000000">
      <w:pPr>
        <w:pStyle w:val="BodyText"/>
      </w:pPr>
      <w:r>
        <w:t xml:space="preserve">12.4 </w:t>
      </w:r>
      <w:r>
        <w:rPr>
          <w:b/>
          <w:bCs/>
        </w:rPr>
        <w:t>Force majeure</w:t>
      </w:r>
      <w:r>
        <w:t xml:space="preserve">, </w:t>
      </w:r>
      <w:r>
        <w:rPr>
          <w:b/>
          <w:bCs/>
        </w:rPr>
        <w:t>severability</w:t>
      </w:r>
      <w:r>
        <w:t xml:space="preserve">, </w:t>
      </w:r>
      <w:r>
        <w:rPr>
          <w:b/>
          <w:bCs/>
        </w:rPr>
        <w:t>entire agreement</w:t>
      </w:r>
      <w:r>
        <w:t xml:space="preserve">, and </w:t>
      </w:r>
      <w:r>
        <w:rPr>
          <w:b/>
          <w:bCs/>
        </w:rPr>
        <w:t>notices</w:t>
      </w:r>
      <w:r>
        <w:t xml:space="preserve"> clauses. </w:t>
      </w:r>
      <w:r>
        <w:rPr>
          <w:b/>
          <w:bCs/>
        </w:rPr>
        <w:t>[[PLACEHOLDER: standard boilerplate , can insert stock language on request]]</w:t>
      </w:r>
      <w:r>
        <w:t>.</w:t>
      </w:r>
    </w:p>
    <w:p w14:paraId="7207188F" w14:textId="77777777" w:rsidR="00CA673F" w:rsidRDefault="00000000">
      <w:pPr>
        <w:pStyle w:val="BodyText"/>
      </w:pPr>
      <w:r>
        <w:t xml:space="preserve">12.5 </w:t>
      </w:r>
      <w:r>
        <w:rPr>
          <w:b/>
          <w:bCs/>
        </w:rPr>
        <w:t>Amendments.</w:t>
      </w:r>
      <w:r>
        <w:t xml:space="preserve"> PAC Africa may update these Terms with </w:t>
      </w:r>
      <w:r>
        <w:rPr>
          <w:b/>
          <w:bCs/>
        </w:rPr>
        <w:t>[[PLACEHOLDER: e.g. 30]]</w:t>
      </w:r>
      <w:r>
        <w:t xml:space="preserve"> days’ notice for material changes; continued use after the effective date of an update constitutes acceptance.</w:t>
      </w:r>
    </w:p>
    <w:p w14:paraId="1546264E" w14:textId="77777777" w:rsidR="00CA673F" w:rsidRDefault="00000000">
      <w:r>
        <w:pict w14:anchorId="495E7CA8">
          <v:rect id="_x0000_i1026" style="width:0;height:1.5pt" o:hralign="center" o:hrstd="t" o:hr="t"/>
        </w:pict>
      </w:r>
    </w:p>
    <w:p w14:paraId="3F3837A8" w14:textId="77777777" w:rsidR="00CA673F" w:rsidRDefault="00000000">
      <w:pPr>
        <w:pStyle w:val="FirstParagraph"/>
      </w:pPr>
      <w:r>
        <w:rPr>
          <w:i/>
          <w:iCs/>
        </w:rPr>
        <w:t>This draft contains placeholders in double brackets that must be resolved , several with input from qualified Kenyan legal counsel , before publication or use as a binding contract. See accompanying compliance checklist items L1, L3, and L4.</w:t>
      </w:r>
      <w:bookmarkEnd w:id="0"/>
      <w:bookmarkEnd w:id="12"/>
    </w:p>
    <w:sectPr w:rsidR="00CA67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A8449" w14:textId="77777777" w:rsidR="00460F6C" w:rsidRDefault="00460F6C">
      <w:pPr>
        <w:spacing w:after="0"/>
      </w:pPr>
      <w:r>
        <w:separator/>
      </w:r>
    </w:p>
  </w:endnote>
  <w:endnote w:type="continuationSeparator" w:id="0">
    <w:p w14:paraId="096F0ADA" w14:textId="77777777" w:rsidR="00460F6C" w:rsidRDefault="00460F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0629" w14:textId="77777777" w:rsidR="00460F6C" w:rsidRDefault="00460F6C">
      <w:r>
        <w:separator/>
      </w:r>
    </w:p>
  </w:footnote>
  <w:footnote w:type="continuationSeparator" w:id="0">
    <w:p w14:paraId="4A16E132" w14:textId="77777777" w:rsidR="00460F6C" w:rsidRDefault="00460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50A3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6EFE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147158218">
    <w:abstractNumId w:val="0"/>
  </w:num>
  <w:num w:numId="2" w16cid:durableId="1063143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673F"/>
    <w:rsid w:val="00460F6C"/>
    <w:rsid w:val="008F64AC"/>
    <w:rsid w:val="00C95CAB"/>
    <w:rsid w:val="00CA67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92AA"/>
  <w15:docId w15:val="{55718999-D982-49D8-BFE3-CA40926E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jonathan maranya</cp:lastModifiedBy>
  <cp:revision>3</cp:revision>
  <dcterms:created xsi:type="dcterms:W3CDTF">2026-08-12T09:22:00Z</dcterms:created>
  <dcterms:modified xsi:type="dcterms:W3CDTF">2026-08-12T10:05:00Z</dcterms:modified>
</cp:coreProperties>
</file>