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9C0D" w14:textId="77777777" w:rsidR="008C6656" w:rsidRPr="00690BAA" w:rsidRDefault="00000000">
      <w:pPr>
        <w:pStyle w:val="1"/>
        <w:rPr>
          <w:lang w:val="ru-RU"/>
        </w:rPr>
      </w:pPr>
      <w:bookmarkStart w:id="0" w:name="Xfb939db8ed0999e0a10f3ea52584b9ce98ef056"/>
      <w:r w:rsidRPr="00690BAA">
        <w:rPr>
          <w:lang w:val="ru-RU"/>
        </w:rPr>
        <w:t xml:space="preserve">Описание калькулятора </w:t>
      </w:r>
      <w:r>
        <w:t>Cashflow</w:t>
      </w:r>
      <w:r w:rsidRPr="00690BAA">
        <w:rPr>
          <w:lang w:val="ru-RU"/>
        </w:rPr>
        <w:t xml:space="preserve"> для проектного финансирования по 214-ФЗ</w:t>
      </w:r>
    </w:p>
    <w:p w14:paraId="3ACF99C1" w14:textId="77777777" w:rsidR="008C6656" w:rsidRPr="00690BAA" w:rsidRDefault="00000000">
      <w:pPr>
        <w:pStyle w:val="2"/>
        <w:rPr>
          <w:lang w:val="ru-RU"/>
        </w:rPr>
      </w:pPr>
      <w:bookmarkStart w:id="1" w:name="что-это-и-зачем"/>
      <w:r w:rsidRPr="00690BAA">
        <w:rPr>
          <w:lang w:val="ru-RU"/>
        </w:rPr>
        <w:t>Что это и зачем</w:t>
      </w:r>
    </w:p>
    <w:p w14:paraId="494A64B1" w14:textId="0FC14C87" w:rsidR="008C6656" w:rsidRPr="00690BAA" w:rsidRDefault="00000000">
      <w:pPr>
        <w:pStyle w:val="FirstParagraph"/>
        <w:rPr>
          <w:lang w:val="ru-RU"/>
        </w:rPr>
      </w:pPr>
      <w:r w:rsidRPr="00690BAA">
        <w:rPr>
          <w:lang w:val="ru-RU"/>
        </w:rPr>
        <w:t xml:space="preserve">Застройщик приходит в банк с просьбой профинансировать строительство жилого комплекса. Банку нужно ответить на один вопрос: хватит ли у проекта денег, чтобы обслуживать кредит? Для ответа используется калькулятор денежных потоков — </w:t>
      </w:r>
      <w:r>
        <w:t>Excel</w:t>
      </w:r>
      <w:r w:rsidRPr="00690BAA">
        <w:rPr>
          <w:lang w:val="ru-RU"/>
        </w:rPr>
        <w:t>-таблица с поквартальной разбивкой на весь горизонт проекта.</w:t>
      </w:r>
    </w:p>
    <w:p w14:paraId="4605C380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 xml:space="preserve">На вход калькулятор принимает параметры конкретного проекта: площади, цены, стоимость строительства, ставки кредитования, график продаж. На выходе — набор финансовых метрик, главная из которых </w:t>
      </w:r>
      <w:r>
        <w:t>CFADS</w:t>
      </w:r>
      <w:r w:rsidRPr="00690BAA">
        <w:rPr>
          <w:lang w:val="ru-RU"/>
        </w:rPr>
        <w:t>/</w:t>
      </w:r>
      <w:r>
        <w:t>DS</w:t>
      </w:r>
      <w:r w:rsidRPr="00690BAA">
        <w:rPr>
          <w:lang w:val="ru-RU"/>
        </w:rPr>
        <w:t xml:space="preserve"> (об этом ниже).</w:t>
      </w:r>
    </w:p>
    <w:p w14:paraId="6629E03C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 xml:space="preserve">Калькулятор состоит из нескольких листов. </w:t>
      </w:r>
      <w:r>
        <w:t>Cash</w:t>
      </w:r>
      <w:r w:rsidRPr="00690BAA">
        <w:rPr>
          <w:lang w:val="ru-RU"/>
        </w:rPr>
        <w:t xml:space="preserve"> </w:t>
      </w:r>
      <w:r>
        <w:t>flow</w:t>
      </w:r>
      <w:r w:rsidRPr="00690BAA">
        <w:rPr>
          <w:lang w:val="ru-RU"/>
        </w:rPr>
        <w:t xml:space="preserve"> — агрегатный лист, который суммирует данные по всем очередям строительства. Каждая очередь (корпус или группа корпусов) — отдельный экземпляр со своим расчётом. Есть также листы с входными данными, результатами моделей и справочниками.</w:t>
      </w:r>
    </w:p>
    <w:p w14:paraId="6F8C5CB9" w14:textId="77777777" w:rsidR="008C6656" w:rsidRDefault="00000000">
      <w:r>
        <w:pict w14:anchorId="2990C3D5">
          <v:rect id="_x0000_i1025" style="width:0;height:1.5pt" o:hralign="center" o:hrstd="t" o:hr="t"/>
        </w:pict>
      </w:r>
    </w:p>
    <w:p w14:paraId="76CE19DE" w14:textId="77777777" w:rsidR="008C6656" w:rsidRPr="00690BAA" w:rsidRDefault="00000000">
      <w:pPr>
        <w:pStyle w:val="2"/>
        <w:rPr>
          <w:lang w:val="ru-RU"/>
        </w:rPr>
      </w:pPr>
      <w:bookmarkStart w:id="2" w:name="как-устроен-214-фз-и-механизм-эскроу"/>
      <w:bookmarkEnd w:id="1"/>
      <w:r w:rsidRPr="00690BAA">
        <w:rPr>
          <w:lang w:val="ru-RU"/>
        </w:rPr>
        <w:t>Как устроен 214-ФЗ и механизм эскроу</w:t>
      </w:r>
    </w:p>
    <w:p w14:paraId="5BC352CE" w14:textId="77777777" w:rsidR="008C6656" w:rsidRPr="00690BAA" w:rsidRDefault="00000000">
      <w:pPr>
        <w:pStyle w:val="FirstParagraph"/>
        <w:rPr>
          <w:lang w:val="ru-RU"/>
        </w:rPr>
      </w:pPr>
      <w:r w:rsidRPr="00690BAA">
        <w:rPr>
          <w:lang w:val="ru-RU"/>
        </w:rPr>
        <w:t>Прежде чем разбирать калькулятор, нужно понять ключевую особенность проектного финансирования жилья в России.</w:t>
      </w:r>
    </w:p>
    <w:p w14:paraId="6F4C9E19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По Федеральному закону 214-ФЗ, когда покупатель приобретает квартиру в строящемся доме (по договору долевого участия, ДДУ), его деньги не попадают к застройщику. Они замораживаются на специальном эскроу-счёте в банке и лежат там до момента сдачи дома — получения разрешения на ввод в эксплуатацию (РВЗ).</w:t>
      </w:r>
    </w:p>
    <w:p w14:paraId="695A092F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Для застройщика это означает, что во время стройки он не видит денег дольщиков и живёт на кредитные средства. Для банка — что на его счетах лежат «бесплатные» деньги, которые можно использовать как фондирование. В обмен банк снижает ставку по кредиту: та часть кредита, которая покрыта деньгами на эскроу, обслуживается по льготной ставке (значительно ниже рыночной).</w:t>
      </w:r>
    </w:p>
    <w:p w14:paraId="3E1F43B0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Отсюда возникает ключевая нелинейная связь, которая пронизывает всю модель: чем быстрее продаются квартиры — тем больше денег на эскроу — тем дешевле кредит для застройщика — тем лучше финансовые показатели проекта. И наоборот: замедление продаж бьёт по проекту через два канала одновременно — и через выручку, и через стоимость кредита.</w:t>
      </w:r>
    </w:p>
    <w:p w14:paraId="50749B31" w14:textId="77777777" w:rsidR="008C6656" w:rsidRDefault="00000000">
      <w:r>
        <w:pict w14:anchorId="31B5825E">
          <v:rect id="_x0000_i1026" style="width:0;height:1.5pt" o:hralign="center" o:hrstd="t" o:hr="t"/>
        </w:pict>
      </w:r>
    </w:p>
    <w:p w14:paraId="247281FE" w14:textId="77777777" w:rsidR="008C6656" w:rsidRPr="00690BAA" w:rsidRDefault="00000000">
      <w:pPr>
        <w:pStyle w:val="2"/>
        <w:rPr>
          <w:lang w:val="ru-RU"/>
        </w:rPr>
      </w:pPr>
      <w:bookmarkStart w:id="3" w:name="параметры-проекта-шапка-калькулятора"/>
      <w:bookmarkEnd w:id="2"/>
      <w:r w:rsidRPr="00690BAA">
        <w:rPr>
          <w:lang w:val="ru-RU"/>
        </w:rPr>
        <w:lastRenderedPageBreak/>
        <w:t>Параметры проекта (шапка калькулятора)</w:t>
      </w:r>
    </w:p>
    <w:p w14:paraId="57F1A2EC" w14:textId="77777777" w:rsidR="008C6656" w:rsidRPr="00690BAA" w:rsidRDefault="00000000">
      <w:pPr>
        <w:pStyle w:val="3"/>
        <w:rPr>
          <w:lang w:val="ru-RU"/>
        </w:rPr>
      </w:pPr>
      <w:bookmarkStart w:id="4" w:name="ставки-и-финансирование"/>
      <w:r w:rsidRPr="00690BAA">
        <w:rPr>
          <w:lang w:val="ru-RU"/>
        </w:rPr>
        <w:t>Ставки и финансирование</w:t>
      </w:r>
    </w:p>
    <w:p w14:paraId="6C0413AB" w14:textId="77777777" w:rsidR="008C6656" w:rsidRPr="00690BAA" w:rsidRDefault="00000000">
      <w:pPr>
        <w:pStyle w:val="FirstParagraph"/>
        <w:rPr>
          <w:lang w:val="ru-RU"/>
        </w:rPr>
      </w:pPr>
      <w:r w:rsidRPr="00690BAA">
        <w:rPr>
          <w:lang w:val="ru-RU"/>
        </w:rPr>
        <w:t>В калькуляторе предусмотрено три типа кредитного финансирования. Проектный кредит — основной инструмент, который выдаётся траншами по мере стройки. Бридж-кредит — короткий «мостик», который берётся до открытия проектного финансирования (например, на покупку земли). КБП — ещё один тип финансирования (используется не во всех проектах).</w:t>
      </w:r>
    </w:p>
    <w:p w14:paraId="73738273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По каждому типу фиксируются несколько видов платежей:</w:t>
      </w:r>
    </w:p>
    <w:p w14:paraId="31607562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Плата за резервирование — комиссия за ту часть кредитной линии, которую банк выделил, но застройщик ещё не выбрал. Типичная ставка около 0,5% годовых от невыбранного остатка.</w:t>
      </w:r>
    </w:p>
    <w:p w14:paraId="5C83F0F7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Спред к ключевой ставке ЦБ — надбавка банка поверх ключевой ставки, начисляется на фактически выбранные деньги. Указывается отдельно для периодов до и после передачи квартир по ДДУ, потому что после передачи риски для банка снижаются.</w:t>
      </w:r>
    </w:p>
    <w:p w14:paraId="4CC00EB1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Льготная ставка — пониженная ставка, по которой обслуживается та часть кредита, которая покрыта деньгами на эскроу. Чем больше продано квартир — тем больше покрыто — тем большая часть кредита идёт по льготной ставке.</w:t>
      </w:r>
    </w:p>
    <w:p w14:paraId="7F0089C4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Трансфертная ставка фондирования ЭСКРОУ — внутренняя ставка банка, отражающая стоимость привлечения денег на рынке. Деньги на эскроу достались банку бесплатно, а рыночное фондирование стоит около 6%. Эта разница учитывается при расчёте эффективной ставки.</w:t>
      </w:r>
    </w:p>
    <w:p w14:paraId="52B232DE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Из комбинации всех этих ставок и объёма эскроу формируется эффективная ставка по кредиту — итоговая цена денег для застройщика. Она рассчитывается поквартально и падает по мере наполнения эскроу: в начале проекта (эскроу пустой) может быть 10–15%, к концу (эскроу полный) — менее 1%.</w:t>
      </w:r>
    </w:p>
    <w:p w14:paraId="1956427F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Формула эффективной ставки: сумма всех платежей по обслуживанию кредита за все кварталы, делённая на сумму ОСЗ (остаток ссудной задолженности) по всем кварталам, где долг был ненулевым, умноженная на 4 (аннуализация из квартальной в годовую).</w:t>
      </w:r>
    </w:p>
    <w:p w14:paraId="1D41BF6E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Дополнительно в шапке есть переключатели: «Отсрочка %% по бриджу» и «Капитализация %% ПФ» — определяют, платятся ли проценты из потока или капитализируются (прибавляются к телу долга). А также флаг «Используем цены клиента» — выбор между модельными ценами банка и ценами от застройщика.</w:t>
      </w:r>
    </w:p>
    <w:p w14:paraId="7E59A8C3" w14:textId="77777777" w:rsidR="008C6656" w:rsidRPr="00690BAA" w:rsidRDefault="00000000">
      <w:pPr>
        <w:pStyle w:val="3"/>
        <w:rPr>
          <w:lang w:val="ru-RU"/>
        </w:rPr>
      </w:pPr>
      <w:bookmarkStart w:id="5" w:name="площади"/>
      <w:bookmarkEnd w:id="4"/>
      <w:r w:rsidRPr="00690BAA">
        <w:rPr>
          <w:lang w:val="ru-RU"/>
        </w:rPr>
        <w:t>Площади</w:t>
      </w:r>
    </w:p>
    <w:p w14:paraId="50AC3DD2" w14:textId="77777777" w:rsidR="008C6656" w:rsidRPr="00690BAA" w:rsidRDefault="00000000">
      <w:pPr>
        <w:pStyle w:val="FirstParagraph"/>
        <w:rPr>
          <w:lang w:val="ru-RU"/>
        </w:rPr>
      </w:pPr>
      <w:r w:rsidRPr="00690BAA">
        <w:rPr>
          <w:lang w:val="ru-RU"/>
        </w:rPr>
        <w:t>ГБА (</w:t>
      </w:r>
      <w:r>
        <w:t>Gross</w:t>
      </w:r>
      <w:r w:rsidRPr="00690BAA">
        <w:rPr>
          <w:lang w:val="ru-RU"/>
        </w:rPr>
        <w:t xml:space="preserve"> </w:t>
      </w:r>
      <w:r>
        <w:t>Building</w:t>
      </w:r>
      <w:r w:rsidRPr="00690BAA">
        <w:rPr>
          <w:lang w:val="ru-RU"/>
        </w:rPr>
        <w:t xml:space="preserve"> </w:t>
      </w:r>
      <w:r>
        <w:t>Area</w:t>
      </w:r>
      <w:r w:rsidRPr="00690BAA">
        <w:rPr>
          <w:lang w:val="ru-RU"/>
        </w:rPr>
        <w:t>) — общая площадь здания, включая всё: квартиры, лестницы, подвалы, технические помещения. Средняя площадь квартиры используется для пересчёта: общая продаваемая площадь делится на среднюю квартиру — получается количество квартир в штуках. Отдельно указываются средние площади апартаментов и машиномест. Доля площадей, продаваемых с НДС — важна для расчёта налогов (квартиры НДС не облагаются, нежилые помещения — облагаются).</w:t>
      </w:r>
    </w:p>
    <w:p w14:paraId="7ACC7A3A" w14:textId="77777777" w:rsidR="008C6656" w:rsidRPr="00690BAA" w:rsidRDefault="00000000">
      <w:pPr>
        <w:pStyle w:val="3"/>
        <w:rPr>
          <w:lang w:val="ru-RU"/>
        </w:rPr>
      </w:pPr>
      <w:bookmarkStart w:id="6" w:name="ставки-налогов-и-коэффициенты"/>
      <w:bookmarkEnd w:id="5"/>
      <w:r w:rsidRPr="00690BAA">
        <w:rPr>
          <w:lang w:val="ru-RU"/>
        </w:rPr>
        <w:lastRenderedPageBreak/>
        <w:t>Ставки налогов и коэффициенты</w:t>
      </w:r>
    </w:p>
    <w:p w14:paraId="1179F437" w14:textId="77777777" w:rsidR="008C6656" w:rsidRPr="00690BAA" w:rsidRDefault="00000000">
      <w:pPr>
        <w:pStyle w:val="FirstParagraph"/>
        <w:rPr>
          <w:lang w:val="ru-RU"/>
        </w:rPr>
      </w:pPr>
      <w:r w:rsidRPr="00690BAA">
        <w:rPr>
          <w:lang w:val="ru-RU"/>
        </w:rPr>
        <w:t>Налог на имущество (2,2%), налог на прибыль (25%), НДС (22%) — стандартные ставки. Важный нюанс: все налоги привязаны к моменту сдачи дома. Налог на прибыль накапливается за весь период стройки, но платится после ввода в эксплуатацию (может быть распределён на два квартала). Налог на имущество начисляется после ввода, пока объект на балансе. НДС — только на нежилые площади, после ввода и продажи.</w:t>
      </w:r>
    </w:p>
    <w:p w14:paraId="0E9AA040" w14:textId="77777777" w:rsidR="008C6656" w:rsidRPr="00690BAA" w:rsidRDefault="00000000">
      <w:pPr>
        <w:pStyle w:val="a0"/>
        <w:rPr>
          <w:lang w:val="ru-RU"/>
        </w:rPr>
      </w:pPr>
      <w:r>
        <w:t>LTC</w:t>
      </w:r>
      <w:r w:rsidRPr="00690BAA">
        <w:rPr>
          <w:lang w:val="ru-RU"/>
        </w:rPr>
        <w:t xml:space="preserve"> (</w:t>
      </w:r>
      <w:r>
        <w:t>Loan</w:t>
      </w:r>
      <w:r w:rsidRPr="00690BAA">
        <w:rPr>
          <w:lang w:val="ru-RU"/>
        </w:rPr>
        <w:t>-</w:t>
      </w:r>
      <w:r>
        <w:t>to</w:t>
      </w:r>
      <w:r w:rsidRPr="00690BAA">
        <w:rPr>
          <w:lang w:val="ru-RU"/>
        </w:rPr>
        <w:t>-</w:t>
      </w:r>
      <w:r>
        <w:t>Cost</w:t>
      </w:r>
      <w:r w:rsidRPr="00690BAA">
        <w:rPr>
          <w:lang w:val="ru-RU"/>
        </w:rPr>
        <w:t xml:space="preserve">) — отношение кредита к полной стоимости проекта. Например, </w:t>
      </w:r>
      <w:r>
        <w:t>LTC</w:t>
      </w:r>
      <w:r w:rsidRPr="00690BAA">
        <w:rPr>
          <w:lang w:val="ru-RU"/>
        </w:rPr>
        <w:t xml:space="preserve"> = 92,6% означает, что банк финансирует 92,6% затрат, а остальные 7,4% — собственные средства застройщика. Чем выше </w:t>
      </w:r>
      <w:r>
        <w:t>LTC</w:t>
      </w:r>
      <w:r w:rsidRPr="00690BAA">
        <w:rPr>
          <w:lang w:val="ru-RU"/>
        </w:rPr>
        <w:t xml:space="preserve"> — тем больше кредитное плечо и выше риск для банка.</w:t>
      </w:r>
    </w:p>
    <w:p w14:paraId="5D02688D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Продажи ИнФ — доля площадей, проданных на инвестиционной фазе (до сдачи дома). Напрямую влияет на наполнение эскроу. Если продано 100% — эскроу полностью покрывает кредит.</w:t>
      </w:r>
    </w:p>
    <w:p w14:paraId="4071D6FE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Стр. с/ст и Инв. с/ст — строительная и инвестиционная себестоимость на квадратный метр. Строительная — только стройка (СМР). Инвестиционная — полная стоимость: стройка плюс земля, проектирование, проценты по кредиту, маркетинг и всё остальное.</w:t>
      </w:r>
    </w:p>
    <w:p w14:paraId="6A51AC15" w14:textId="77777777" w:rsidR="008C6656" w:rsidRPr="00690BAA" w:rsidRDefault="00000000">
      <w:pPr>
        <w:pStyle w:val="3"/>
        <w:rPr>
          <w:lang w:val="ru-RU"/>
        </w:rPr>
      </w:pPr>
      <w:bookmarkStart w:id="7" w:name="временные-метки"/>
      <w:bookmarkEnd w:id="6"/>
      <w:r w:rsidRPr="00690BAA">
        <w:rPr>
          <w:lang w:val="ru-RU"/>
        </w:rPr>
        <w:t>Временные метки</w:t>
      </w:r>
    </w:p>
    <w:p w14:paraId="5A438B5A" w14:textId="77777777" w:rsidR="008C6656" w:rsidRDefault="00000000">
      <w:pPr>
        <w:pStyle w:val="FirstParagraph"/>
      </w:pPr>
      <w:r w:rsidRPr="00690BAA">
        <w:rPr>
          <w:lang w:val="ru-RU"/>
        </w:rPr>
        <w:t xml:space="preserve">Календарный год и квартал начала прогнозирования задают начало временной оси. РНС — квартал получения разрешения на строительство (начало стройки). РВЗ — квартал получения разрешения на ввод в эксплуатацию (сдача дома, раскрытие эскроу). Между РНС и РВЗ — период активной стройки и продаж. </w:t>
      </w:r>
      <w:r>
        <w:t>Срок доступности — сколько кварталов действует кредитная линия.</w:t>
      </w:r>
    </w:p>
    <w:p w14:paraId="6C45E0D9" w14:textId="77777777" w:rsidR="008C6656" w:rsidRDefault="00000000">
      <w:r>
        <w:pict w14:anchorId="1B572EA3">
          <v:rect id="_x0000_i1027" style="width:0;height:1.5pt" o:hralign="center" o:hrstd="t" o:hr="t"/>
        </w:pict>
      </w:r>
    </w:p>
    <w:p w14:paraId="4FCFC6EA" w14:textId="77777777" w:rsidR="008C6656" w:rsidRPr="00690BAA" w:rsidRDefault="00000000">
      <w:pPr>
        <w:pStyle w:val="2"/>
        <w:rPr>
          <w:lang w:val="ru-RU"/>
        </w:rPr>
      </w:pPr>
      <w:bookmarkStart w:id="8" w:name="темпы-продаж"/>
      <w:bookmarkEnd w:id="3"/>
      <w:bookmarkEnd w:id="7"/>
      <w:r w:rsidRPr="00690BAA">
        <w:rPr>
          <w:lang w:val="ru-RU"/>
        </w:rPr>
        <w:t>Темпы продаж</w:t>
      </w:r>
    </w:p>
    <w:p w14:paraId="710ED001" w14:textId="77777777" w:rsidR="008C6656" w:rsidRPr="00690BAA" w:rsidRDefault="00000000">
      <w:pPr>
        <w:pStyle w:val="FirstParagraph"/>
        <w:rPr>
          <w:lang w:val="ru-RU"/>
        </w:rPr>
      </w:pPr>
      <w:r w:rsidRPr="00690BAA">
        <w:rPr>
          <w:lang w:val="ru-RU"/>
        </w:rPr>
        <w:t xml:space="preserve">Профиль продаж по кварталам — какой процент площадей продаётся в каждом квартале. Это один из ключевых входов калькулятора, который может прогнозироваться </w:t>
      </w:r>
      <w:r>
        <w:t>ML</w:t>
      </w:r>
      <w:r w:rsidRPr="00690BAA">
        <w:rPr>
          <w:lang w:val="ru-RU"/>
        </w:rPr>
        <w:t>-моделью. Рассчитывается только для квартир (основной продукт, обычно 85%+ выручки). Апартаменты, коммерция, машиноместа и кладовые продаются по отдельным графикам, часто привязанным к динамике квартир с лагом.</w:t>
      </w:r>
    </w:p>
    <w:p w14:paraId="604E9DC3" w14:textId="77777777" w:rsidR="008C6656" w:rsidRDefault="00000000">
      <w:r>
        <w:pict w14:anchorId="7AA4D88F">
          <v:rect id="_x0000_i1028" style="width:0;height:1.5pt" o:hralign="center" o:hrstd="t" o:hr="t"/>
        </w:pict>
      </w:r>
    </w:p>
    <w:p w14:paraId="43073528" w14:textId="77777777" w:rsidR="008C6656" w:rsidRPr="00690BAA" w:rsidRDefault="00000000">
      <w:pPr>
        <w:pStyle w:val="2"/>
        <w:rPr>
          <w:lang w:val="ru-RU"/>
        </w:rPr>
      </w:pPr>
      <w:bookmarkStart w:id="9" w:name="выручка"/>
      <w:bookmarkEnd w:id="8"/>
      <w:r w:rsidRPr="00690BAA">
        <w:rPr>
          <w:lang w:val="ru-RU"/>
        </w:rPr>
        <w:t>Выручка</w:t>
      </w:r>
    </w:p>
    <w:p w14:paraId="068F07EA" w14:textId="77777777" w:rsidR="008C6656" w:rsidRPr="00690BAA" w:rsidRDefault="00000000">
      <w:pPr>
        <w:pStyle w:val="FirstParagraph"/>
        <w:rPr>
          <w:lang w:val="ru-RU"/>
        </w:rPr>
      </w:pPr>
      <w:r w:rsidRPr="00690BAA">
        <w:rPr>
          <w:lang w:val="ru-RU"/>
        </w:rPr>
        <w:t>Выручка складывается из поступлений по пяти типам площадей: квартиры, апартаменты, нежилые площади (коммерция), машиноместа и кладовые. По каждому типу в калькуляторе три строки: объём продаж (кв.м. или штуки), цена реализации за единицу и итого выручка (произведение первых двух). Цены помечены «банк» — это значит, что они приходят из модели прогнозирования цен банка, а не от застройщика. Средняя цена реализации по итого рассчитывается как общая выручка типа делить на общий объём продаж.</w:t>
      </w:r>
    </w:p>
    <w:p w14:paraId="382F6151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lastRenderedPageBreak/>
        <w:t>Отдельная строка — выручка от возмещения за социальные объекты (если город компенсирует застройщику строительство школы или детского сада).</w:t>
      </w:r>
    </w:p>
    <w:p w14:paraId="0CB53AF1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Итого поступления — сумма всех компонент.</w:t>
      </w:r>
    </w:p>
    <w:p w14:paraId="1FA2F337" w14:textId="77777777" w:rsidR="008C6656" w:rsidRDefault="00000000">
      <w:r>
        <w:pict w14:anchorId="2114F2BE">
          <v:rect id="_x0000_i1029" style="width:0;height:1.5pt" o:hralign="center" o:hrstd="t" o:hr="t"/>
        </w:pict>
      </w:r>
    </w:p>
    <w:p w14:paraId="49593948" w14:textId="77777777" w:rsidR="008C6656" w:rsidRPr="00690BAA" w:rsidRDefault="00000000">
      <w:pPr>
        <w:pStyle w:val="2"/>
        <w:rPr>
          <w:lang w:val="ru-RU"/>
        </w:rPr>
      </w:pPr>
      <w:bookmarkStart w:id="10" w:name="эскроу-счета"/>
      <w:bookmarkEnd w:id="9"/>
      <w:r w:rsidRPr="00690BAA">
        <w:rPr>
          <w:lang w:val="ru-RU"/>
        </w:rPr>
        <w:t>Эскроу-счета</w:t>
      </w:r>
    </w:p>
    <w:p w14:paraId="7EF750C0" w14:textId="77777777" w:rsidR="008C6656" w:rsidRPr="00690BAA" w:rsidRDefault="00000000">
      <w:pPr>
        <w:pStyle w:val="FirstParagraph"/>
        <w:rPr>
          <w:lang w:val="ru-RU"/>
        </w:rPr>
      </w:pPr>
      <w:r w:rsidRPr="00690BAA">
        <w:rPr>
          <w:lang w:val="ru-RU"/>
        </w:rPr>
        <w:t>Три строки: зачисление (поквартальные поступления, зеркало выручки), остаток (накопленная сумма, растёт каждый квартал) и списание (в квартал сдачи дома вся сумма раскрывается одномоментно). До момента РВЗ списание равно нулю. В квартал РВЗ списывается весь накопленный остаток.</w:t>
      </w:r>
    </w:p>
    <w:p w14:paraId="70E1CE88" w14:textId="77777777" w:rsidR="008C6656" w:rsidRDefault="00000000">
      <w:r>
        <w:pict w14:anchorId="3BB12230">
          <v:rect id="_x0000_i1030" style="width:0;height:1.5pt" o:hralign="center" o:hrstd="t" o:hr="t"/>
        </w:pict>
      </w:r>
    </w:p>
    <w:p w14:paraId="21BD301E" w14:textId="77777777" w:rsidR="008C6656" w:rsidRPr="00690BAA" w:rsidRDefault="00000000">
      <w:pPr>
        <w:pStyle w:val="2"/>
        <w:rPr>
          <w:lang w:val="ru-RU"/>
        </w:rPr>
      </w:pPr>
      <w:bookmarkStart w:id="11" w:name="расходы"/>
      <w:bookmarkEnd w:id="10"/>
      <w:r w:rsidRPr="00690BAA">
        <w:rPr>
          <w:lang w:val="ru-RU"/>
        </w:rPr>
        <w:t>Расходы</w:t>
      </w:r>
    </w:p>
    <w:p w14:paraId="71EBBA59" w14:textId="77777777" w:rsidR="008C6656" w:rsidRPr="00690BAA" w:rsidRDefault="00000000">
      <w:pPr>
        <w:pStyle w:val="FirstParagraph"/>
        <w:rPr>
          <w:lang w:val="ru-RU"/>
        </w:rPr>
      </w:pPr>
      <w:r w:rsidRPr="00690BAA">
        <w:rPr>
          <w:lang w:val="ru-RU"/>
        </w:rPr>
        <w:t>Структура расходов:</w:t>
      </w:r>
    </w:p>
    <w:p w14:paraId="7B58E529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Затраты на строительство: земельный участок (покупается в начале проекта), аренда земли или плата за изменение вида разрешённого использования, проектирование, СМР (строительно-монтажные работы — основная статья расходов, распределена по кварталам стройки), инженерные сети, социальные объекты, непредвиденные расходы, административно-управленческие расходы (АУР), маркетинг и расходы на продажу (обычно фиксированный процент от выручки, порядка 5%).</w:t>
      </w:r>
    </w:p>
    <w:p w14:paraId="1C5C476A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Расходы после ввода в эксплуатацию — дополнительные затраты после сдачи дома.</w:t>
      </w:r>
    </w:p>
    <w:p w14:paraId="1B2C682E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Налоги — все привязаны к моменту сдачи. До этого расходы только на стройку и обслуживание кредита, а после — резкий всплеск налоговых платежей.</w:t>
      </w:r>
    </w:p>
    <w:p w14:paraId="11A568CE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Обслуживание кредита: оплата процентов (начисляются на ОСЗ, при этом на покрытую эскроу часть — по льготной ставке, на непокрытую — по полной), плата за пользование лимитом и плата за резервирование (на неиспользованный остаток лимита).</w:t>
      </w:r>
    </w:p>
    <w:p w14:paraId="11B2743D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Итого расходы — сумма всех статей.</w:t>
      </w:r>
    </w:p>
    <w:p w14:paraId="062213FE" w14:textId="77777777" w:rsidR="008C6656" w:rsidRDefault="00000000">
      <w:r>
        <w:pict w14:anchorId="15796A00">
          <v:rect id="_x0000_i1031" style="width:0;height:1.5pt" o:hralign="center" o:hrstd="t" o:hr="t"/>
        </w:pict>
      </w:r>
    </w:p>
    <w:p w14:paraId="6465A3DB" w14:textId="77777777" w:rsidR="008C6656" w:rsidRPr="00690BAA" w:rsidRDefault="00000000">
      <w:pPr>
        <w:pStyle w:val="2"/>
        <w:rPr>
          <w:lang w:val="ru-RU"/>
        </w:rPr>
      </w:pPr>
      <w:bookmarkStart w:id="12" w:name="финансирование"/>
      <w:bookmarkEnd w:id="11"/>
      <w:r w:rsidRPr="00690BAA">
        <w:rPr>
          <w:lang w:val="ru-RU"/>
        </w:rPr>
        <w:t>Финансирование</w:t>
      </w:r>
    </w:p>
    <w:p w14:paraId="2A4BE552" w14:textId="77777777" w:rsidR="008C6656" w:rsidRPr="00690BAA" w:rsidRDefault="00000000">
      <w:pPr>
        <w:pStyle w:val="FirstParagraph"/>
        <w:rPr>
          <w:lang w:val="ru-RU"/>
        </w:rPr>
      </w:pPr>
      <w:r w:rsidRPr="00690BAA">
        <w:rPr>
          <w:lang w:val="ru-RU"/>
        </w:rPr>
        <w:t>Блок финансирования описывает движение кредитных и собственных средств.</w:t>
      </w:r>
    </w:p>
    <w:p w14:paraId="3CA94FAF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Кредит ГПБ (проектное финансирование): привлечение кредита (застройщик берёт деньги траншами каждый квартал — на оплату СМР, земли и т.д.), погашение (обычно одним платежом при раскрытии эскроу), ОСЗ на конец периода (остаток ссудной задолженности — текущий размер долга, растёт при привлечении и обнуляется при погашении), лимит кредитования (максимально одобренная сумма). Разница между лимитом и ОСЗ = неиспользованный остаток, на который начисляется плата за резервирование.</w:t>
      </w:r>
    </w:p>
    <w:p w14:paraId="4662BEB2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Бридж кредит — та же структура, используется если есть бридж.</w:t>
      </w:r>
    </w:p>
    <w:p w14:paraId="553A8F80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lastRenderedPageBreak/>
        <w:t>Собственные средства: привлечение на стройку (обычно равно стоимости земли — это собственный вклад застройщика), привлечение на проценты, вывод собственных средств (возврат после завершения проекта).</w:t>
      </w:r>
    </w:p>
    <w:p w14:paraId="429FFD5D" w14:textId="77777777" w:rsidR="008C6656" w:rsidRDefault="00000000">
      <w:r>
        <w:pict w14:anchorId="6DE43E51">
          <v:rect id="_x0000_i1032" style="width:0;height:1.5pt" o:hralign="center" o:hrstd="t" o:hr="t"/>
        </w:pict>
      </w:r>
    </w:p>
    <w:p w14:paraId="0EC7A6CA" w14:textId="77777777" w:rsidR="008C6656" w:rsidRPr="00690BAA" w:rsidRDefault="00000000">
      <w:pPr>
        <w:pStyle w:val="2"/>
        <w:rPr>
          <w:lang w:val="ru-RU"/>
        </w:rPr>
      </w:pPr>
      <w:bookmarkStart w:id="13" w:name="итоговые-показатели"/>
      <w:bookmarkEnd w:id="12"/>
      <w:r w:rsidRPr="00690BAA">
        <w:rPr>
          <w:lang w:val="ru-RU"/>
        </w:rPr>
        <w:t>Итоговые показатели</w:t>
      </w:r>
    </w:p>
    <w:p w14:paraId="1C564A3C" w14:textId="77777777" w:rsidR="008C6656" w:rsidRPr="00690BAA" w:rsidRDefault="00000000">
      <w:pPr>
        <w:pStyle w:val="FirstParagraph"/>
        <w:rPr>
          <w:lang w:val="ru-RU"/>
        </w:rPr>
      </w:pPr>
      <w:r w:rsidRPr="00690BAA">
        <w:rPr>
          <w:lang w:val="ru-RU"/>
        </w:rPr>
        <w:t>Чистый денежный поток (ЧДП) = выручка минус расходы плюс привлечение кредита плюс погашение кредита (отрицательное) плюс привлечение собственных средств. Считается по каждому кварталу и накопительным итогом.</w:t>
      </w:r>
    </w:p>
    <w:p w14:paraId="356A91C6" w14:textId="77777777" w:rsidR="008C6656" w:rsidRPr="00690BAA" w:rsidRDefault="00000000">
      <w:pPr>
        <w:pStyle w:val="3"/>
        <w:rPr>
          <w:lang w:val="ru-RU"/>
        </w:rPr>
      </w:pPr>
      <w:bookmarkStart w:id="14" w:name="ds-cfads-dscr-ядро-модели"/>
      <w:r>
        <w:t>DS</w:t>
      </w:r>
      <w:r w:rsidRPr="00690BAA">
        <w:rPr>
          <w:lang w:val="ru-RU"/>
        </w:rPr>
        <w:t xml:space="preserve">, </w:t>
      </w:r>
      <w:r>
        <w:t>CFADS</w:t>
      </w:r>
      <w:r w:rsidRPr="00690BAA">
        <w:rPr>
          <w:lang w:val="ru-RU"/>
        </w:rPr>
        <w:t xml:space="preserve">, </w:t>
      </w:r>
      <w:r>
        <w:t>DSCR</w:t>
      </w:r>
      <w:r w:rsidRPr="00690BAA">
        <w:rPr>
          <w:lang w:val="ru-RU"/>
        </w:rPr>
        <w:t xml:space="preserve"> — ядро модели</w:t>
      </w:r>
    </w:p>
    <w:p w14:paraId="546738B0" w14:textId="77777777" w:rsidR="008C6656" w:rsidRPr="00690BAA" w:rsidRDefault="00000000">
      <w:pPr>
        <w:pStyle w:val="FirstParagraph"/>
        <w:rPr>
          <w:lang w:val="ru-RU"/>
        </w:rPr>
      </w:pPr>
      <w:r>
        <w:t>DS</w:t>
      </w:r>
      <w:r w:rsidRPr="00690BAA">
        <w:rPr>
          <w:lang w:val="ru-RU"/>
        </w:rPr>
        <w:t xml:space="preserve"> (</w:t>
      </w:r>
      <w:r>
        <w:t>Debt</w:t>
      </w:r>
      <w:r w:rsidRPr="00690BAA">
        <w:rPr>
          <w:lang w:val="ru-RU"/>
        </w:rPr>
        <w:t xml:space="preserve"> </w:t>
      </w:r>
      <w:r>
        <w:t>Service</w:t>
      </w:r>
      <w:r w:rsidRPr="00690BAA">
        <w:rPr>
          <w:lang w:val="ru-RU"/>
        </w:rPr>
        <w:t>) — полное обслуживание долга: тело кредита (погашение) плюс проценты плюс все комиссии. В калькуляторе это строка «Долг+%%». По сути — сколько денег застройщик должен вернуть банку.</w:t>
      </w:r>
    </w:p>
    <w:p w14:paraId="16F69706" w14:textId="77777777" w:rsidR="008C6656" w:rsidRPr="00690BAA" w:rsidRDefault="00000000">
      <w:pPr>
        <w:pStyle w:val="a0"/>
        <w:rPr>
          <w:lang w:val="ru-RU"/>
        </w:rPr>
      </w:pPr>
      <w:r>
        <w:t>CFADS</w:t>
      </w:r>
      <w:r w:rsidRPr="00690BAA">
        <w:rPr>
          <w:lang w:val="ru-RU"/>
        </w:rPr>
        <w:t xml:space="preserve"> (</w:t>
      </w:r>
      <w:r>
        <w:t>Cash</w:t>
      </w:r>
      <w:r w:rsidRPr="00690BAA">
        <w:rPr>
          <w:lang w:val="ru-RU"/>
        </w:rPr>
        <w:t xml:space="preserve"> </w:t>
      </w:r>
      <w:r>
        <w:t>Flow</w:t>
      </w:r>
      <w:r w:rsidRPr="00690BAA">
        <w:rPr>
          <w:lang w:val="ru-RU"/>
        </w:rPr>
        <w:t xml:space="preserve"> </w:t>
      </w:r>
      <w:r>
        <w:t>Available</w:t>
      </w:r>
      <w:r w:rsidRPr="00690BAA">
        <w:rPr>
          <w:lang w:val="ru-RU"/>
        </w:rPr>
        <w:t xml:space="preserve"> </w:t>
      </w:r>
      <w:r>
        <w:t>for</w:t>
      </w:r>
      <w:r w:rsidRPr="00690BAA">
        <w:rPr>
          <w:lang w:val="ru-RU"/>
        </w:rPr>
        <w:t xml:space="preserve"> </w:t>
      </w:r>
      <w:r>
        <w:t>Debt</w:t>
      </w:r>
      <w:r w:rsidRPr="00690BAA">
        <w:rPr>
          <w:lang w:val="ru-RU"/>
        </w:rPr>
        <w:t xml:space="preserve"> </w:t>
      </w:r>
      <w:r>
        <w:t>Service</w:t>
      </w:r>
      <w:r w:rsidRPr="00690BAA">
        <w:rPr>
          <w:lang w:val="ru-RU"/>
        </w:rPr>
        <w:t>) — денежный поток, доступный для обслуживания долга. Считается до вычета платежей по кредиту: выручка минус операционные расходы минус налоги. Отвечает на вопрос: «сколько денег у проекта есть, чтобы расплатиться с банком?»</w:t>
      </w:r>
    </w:p>
    <w:p w14:paraId="0D0C87EA" w14:textId="77777777" w:rsidR="008C6656" w:rsidRPr="00690BAA" w:rsidRDefault="00000000">
      <w:pPr>
        <w:pStyle w:val="a0"/>
        <w:rPr>
          <w:lang w:val="ru-RU"/>
        </w:rPr>
      </w:pPr>
      <w:r>
        <w:t xml:space="preserve">CFADS/DS (он же DSCR — Debt Service Coverage Ratio) — главный ковенант банка. </w:t>
      </w:r>
      <w:r w:rsidRPr="00690BAA">
        <w:rPr>
          <w:lang w:val="ru-RU"/>
        </w:rPr>
        <w:t xml:space="preserve">Отношение доступного потока к обслуживанию долга. Если больше единицы — денег хватает, есть запас. Если равен единице — впритык. Если меньше единицы — проект не покрывает обслуживание кредита. Банк обычно требует </w:t>
      </w:r>
      <w:r>
        <w:t>DSCR</w:t>
      </w:r>
      <w:r w:rsidRPr="00690BAA">
        <w:rPr>
          <w:lang w:val="ru-RU"/>
        </w:rPr>
        <w:t xml:space="preserve"> не ниже 1,2 (запас минимум 20%). </w:t>
      </w:r>
      <w:r>
        <w:t>DSCR</w:t>
      </w:r>
      <w:r w:rsidRPr="00690BAA">
        <w:rPr>
          <w:lang w:val="ru-RU"/>
        </w:rPr>
        <w:t xml:space="preserve"> является ковенантом в кредитном договоре — при нарушении банк может потребовать досрочное погашение.</w:t>
      </w:r>
    </w:p>
    <w:p w14:paraId="34C6E178" w14:textId="77777777" w:rsidR="008C6656" w:rsidRPr="00690BAA" w:rsidRDefault="00000000">
      <w:pPr>
        <w:pStyle w:val="a0"/>
        <w:rPr>
          <w:lang w:val="ru-RU"/>
        </w:rPr>
      </w:pPr>
      <w:r>
        <w:t>CFADS</w:t>
      </w:r>
      <w:r w:rsidRPr="00690BAA">
        <w:rPr>
          <w:lang w:val="ru-RU"/>
        </w:rPr>
        <w:t>/</w:t>
      </w:r>
      <w:r>
        <w:t>DS</w:t>
      </w:r>
      <w:r w:rsidRPr="00690BAA">
        <w:rPr>
          <w:lang w:val="ru-RU"/>
        </w:rPr>
        <w:t xml:space="preserve"> до налогов — то же, но без вычета налогов из </w:t>
      </w:r>
      <w:r>
        <w:t>CFADS</w:t>
      </w:r>
      <w:r w:rsidRPr="00690BAA">
        <w:rPr>
          <w:lang w:val="ru-RU"/>
        </w:rPr>
        <w:t>. Показывает запас до налогообложения.</w:t>
      </w:r>
    </w:p>
    <w:p w14:paraId="4CC47AAE" w14:textId="77777777" w:rsidR="008C6656" w:rsidRPr="00690BAA" w:rsidRDefault="00000000">
      <w:pPr>
        <w:pStyle w:val="a0"/>
        <w:rPr>
          <w:lang w:val="ru-RU"/>
        </w:rPr>
      </w:pPr>
      <w:r>
        <w:t>ISCR</w:t>
      </w:r>
      <w:r w:rsidRPr="00690BAA">
        <w:rPr>
          <w:lang w:val="ru-RU"/>
        </w:rPr>
        <w:t xml:space="preserve"> (</w:t>
      </w:r>
      <w:r>
        <w:t>Interest</w:t>
      </w:r>
      <w:r w:rsidRPr="00690BAA">
        <w:rPr>
          <w:lang w:val="ru-RU"/>
        </w:rPr>
        <w:t xml:space="preserve"> </w:t>
      </w:r>
      <w:r>
        <w:t>Service</w:t>
      </w:r>
      <w:r w:rsidRPr="00690BAA">
        <w:rPr>
          <w:lang w:val="ru-RU"/>
        </w:rPr>
        <w:t xml:space="preserve"> </w:t>
      </w:r>
      <w:r>
        <w:t>Coverage</w:t>
      </w:r>
      <w:r w:rsidRPr="00690BAA">
        <w:rPr>
          <w:lang w:val="ru-RU"/>
        </w:rPr>
        <w:t xml:space="preserve"> </w:t>
      </w:r>
      <w:r>
        <w:t>Ratio</w:t>
      </w:r>
      <w:r w:rsidRPr="00690BAA">
        <w:rPr>
          <w:lang w:val="ru-RU"/>
        </w:rPr>
        <w:t>) — покрытие только процентов (без тела долга). Считается поквартально.</w:t>
      </w:r>
    </w:p>
    <w:p w14:paraId="28A346FE" w14:textId="77777777" w:rsidR="008C6656" w:rsidRPr="00690BAA" w:rsidRDefault="00000000">
      <w:pPr>
        <w:pStyle w:val="3"/>
        <w:rPr>
          <w:lang w:val="ru-RU"/>
        </w:rPr>
      </w:pPr>
      <w:bookmarkStart w:id="15" w:name="кредит-гпб-под-будущую-прибыль"/>
      <w:bookmarkEnd w:id="14"/>
      <w:r w:rsidRPr="00690BAA">
        <w:rPr>
          <w:lang w:val="ru-RU"/>
        </w:rPr>
        <w:t>Кредит ГПБ под будущую прибыль</w:t>
      </w:r>
    </w:p>
    <w:p w14:paraId="1AE759B0" w14:textId="77777777" w:rsidR="008C6656" w:rsidRPr="00690BAA" w:rsidRDefault="00000000">
      <w:pPr>
        <w:pStyle w:val="FirstParagraph"/>
        <w:rPr>
          <w:lang w:val="ru-RU"/>
        </w:rPr>
      </w:pPr>
      <w:r w:rsidRPr="00690BAA">
        <w:rPr>
          <w:lang w:val="ru-RU"/>
        </w:rPr>
        <w:t>Дополнительный кредитный инструмент со своей структурой (привлечение, погашение, ОСЗ, лимит, проценты). Используется не во всех проектах. После учёта этого инструмента рассчитывается ЧДП после КБП.</w:t>
      </w:r>
    </w:p>
    <w:p w14:paraId="38687F7E" w14:textId="77777777" w:rsidR="008C6656" w:rsidRDefault="00000000">
      <w:r>
        <w:pict w14:anchorId="68378BBB">
          <v:rect id="_x0000_i1033" style="width:0;height:1.5pt" o:hralign="center" o:hrstd="t" o:hr="t"/>
        </w:pict>
      </w:r>
    </w:p>
    <w:p w14:paraId="1BEFD45A" w14:textId="77777777" w:rsidR="008C6656" w:rsidRPr="00690BAA" w:rsidRDefault="00000000">
      <w:pPr>
        <w:pStyle w:val="2"/>
        <w:rPr>
          <w:lang w:val="ru-RU"/>
        </w:rPr>
      </w:pPr>
      <w:bookmarkStart w:id="16" w:name="структура-финансирования-и-обеспечение"/>
      <w:bookmarkEnd w:id="13"/>
      <w:bookmarkEnd w:id="15"/>
      <w:r w:rsidRPr="00690BAA">
        <w:rPr>
          <w:lang w:val="ru-RU"/>
        </w:rPr>
        <w:t>Структура финансирования и обеспечение</w:t>
      </w:r>
    </w:p>
    <w:p w14:paraId="5AB2306C" w14:textId="77777777" w:rsidR="008C6656" w:rsidRPr="00690BAA" w:rsidRDefault="00000000">
      <w:pPr>
        <w:pStyle w:val="FirstParagraph"/>
        <w:rPr>
          <w:lang w:val="ru-RU"/>
        </w:rPr>
      </w:pPr>
      <w:r w:rsidRPr="00690BAA">
        <w:rPr>
          <w:lang w:val="ru-RU"/>
        </w:rPr>
        <w:t>Итоговая разбивка: стоимость проекта = кредит + собственные средства. Показываются план, факт и остаток к оплате.</w:t>
      </w:r>
    </w:p>
    <w:p w14:paraId="00F89420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 xml:space="preserve">Банку нужен залог. В блоке «Оценка обеспечения» оценивается рыночная стоимость всех площадей проекта с дисконтом (на случай вынужденной продажи). Дисконт для квартир и коммерции — обычно 30%, для машиномест и кладовых — 35%. </w:t>
      </w:r>
      <w:r w:rsidRPr="00690BAA">
        <w:rPr>
          <w:lang w:val="ru-RU"/>
        </w:rPr>
        <w:lastRenderedPageBreak/>
        <w:t>Обеспеченность — это отношение залоговой стоимости к лимиту кредита с процентами. Если меньше 100% — залога не хватает на полное покрытие.</w:t>
      </w:r>
    </w:p>
    <w:p w14:paraId="5B5750E3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Отдельно рассчитывается себестоимость: строительная (СМР делить на ГБА) и инвестиционная (полная стоимость проекта делить на продаваемую площадь).</w:t>
      </w:r>
    </w:p>
    <w:p w14:paraId="3FC6F653" w14:textId="77777777" w:rsidR="008C6656" w:rsidRDefault="00000000">
      <w:r>
        <w:pict w14:anchorId="35F86AC3">
          <v:rect id="_x0000_i1034" style="width:0;height:1.5pt" o:hralign="center" o:hrstd="t" o:hr="t"/>
        </w:pict>
      </w:r>
    </w:p>
    <w:p w14:paraId="4EE495A2" w14:textId="77777777" w:rsidR="008C6656" w:rsidRPr="00690BAA" w:rsidRDefault="00000000">
      <w:pPr>
        <w:pStyle w:val="2"/>
        <w:rPr>
          <w:lang w:val="ru-RU"/>
        </w:rPr>
      </w:pPr>
      <w:bookmarkStart w:id="17" w:name="эффективная-ставка-по-кредиту"/>
      <w:bookmarkEnd w:id="16"/>
      <w:r w:rsidRPr="00690BAA">
        <w:rPr>
          <w:lang w:val="ru-RU"/>
        </w:rPr>
        <w:t>Эффективная ставка по кредиту</w:t>
      </w:r>
    </w:p>
    <w:p w14:paraId="352FFB13" w14:textId="299002E8" w:rsidR="008C6656" w:rsidRPr="004E5AC7" w:rsidRDefault="00000000" w:rsidP="00690BAA">
      <w:pPr>
        <w:pStyle w:val="FirstParagraph"/>
        <w:rPr>
          <w:lang w:val="ru-RU"/>
        </w:rPr>
      </w:pPr>
      <w:r w:rsidRPr="00690BAA">
        <w:rPr>
          <w:lang w:val="ru-RU"/>
        </w:rPr>
        <w:t xml:space="preserve">Рассчитывается поквартально и отражает реальную стоимость кредита для застройщика с учётом наполнения эскроу. В начале проекта высокая (эскроу пустой, весь кредит обслуживается по полной ставке), к концу — минимальная (эскроу полный, почти весь кредит по льготной ставке). </w:t>
      </w:r>
      <w:r w:rsidRPr="004E5AC7">
        <w:rPr>
          <w:lang w:val="ru-RU"/>
        </w:rPr>
        <w:t>В шапке отображается средневзвешенная за весь проект.</w:t>
      </w:r>
      <w:bookmarkStart w:id="18" w:name="таблицы-чувствительности"/>
      <w:bookmarkEnd w:id="17"/>
      <w:r>
        <w:pict w14:anchorId="138B52D8">
          <v:rect id="_x0000_i1035" style="width:0;height:1.5pt" o:hralign="center" o:hrstd="t" o:hr="t"/>
        </w:pict>
      </w:r>
    </w:p>
    <w:p w14:paraId="0CBFEA49" w14:textId="77777777" w:rsidR="008C6656" w:rsidRPr="00690BAA" w:rsidRDefault="00000000">
      <w:pPr>
        <w:pStyle w:val="2"/>
        <w:rPr>
          <w:lang w:val="ru-RU"/>
        </w:rPr>
      </w:pPr>
      <w:bookmarkStart w:id="19" w:name="проверка-модели"/>
      <w:bookmarkEnd w:id="18"/>
      <w:r w:rsidRPr="00690BAA">
        <w:rPr>
          <w:lang w:val="ru-RU"/>
        </w:rPr>
        <w:t>Проверка модели</w:t>
      </w:r>
    </w:p>
    <w:p w14:paraId="398BB8F4" w14:textId="77777777" w:rsidR="008C6656" w:rsidRPr="00690BAA" w:rsidRDefault="00000000">
      <w:pPr>
        <w:pStyle w:val="FirstParagraph"/>
        <w:rPr>
          <w:lang w:val="ru-RU"/>
        </w:rPr>
      </w:pPr>
      <w:r w:rsidRPr="00690BAA">
        <w:rPr>
          <w:lang w:val="ru-RU"/>
        </w:rPr>
        <w:t>Автоматические проверки ковенантов банка (зелёное — проходит, красное — нет):</w:t>
      </w:r>
    </w:p>
    <w:p w14:paraId="40433897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>По блоку ЧДП: погашение кредита (хватает ли денег), достаточность обеспечения (покрывает ли залог кредит), чувствительность не менее 15% (выдерживает ли проект стресс).</w:t>
      </w:r>
    </w:p>
    <w:p w14:paraId="6DDECB6D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 xml:space="preserve">По блоку </w:t>
      </w:r>
      <w:r>
        <w:t>CFADS</w:t>
      </w:r>
      <w:r w:rsidRPr="00690BAA">
        <w:rPr>
          <w:lang w:val="ru-RU"/>
        </w:rPr>
        <w:t>/</w:t>
      </w:r>
      <w:r>
        <w:t>DS</w:t>
      </w:r>
      <w:r w:rsidRPr="00690BAA">
        <w:rPr>
          <w:lang w:val="ru-RU"/>
        </w:rPr>
        <w:t xml:space="preserve">: погашение кредита (через призму </w:t>
      </w:r>
      <w:r>
        <w:t>DSCR</w:t>
      </w:r>
      <w:r w:rsidRPr="00690BAA">
        <w:rPr>
          <w:lang w:val="ru-RU"/>
        </w:rPr>
        <w:t xml:space="preserve">), чувствительность не менее 10% (выдерживает ли </w:t>
      </w:r>
      <w:r>
        <w:t>DSCR</w:t>
      </w:r>
      <w:r w:rsidRPr="00690BAA">
        <w:rPr>
          <w:lang w:val="ru-RU"/>
        </w:rPr>
        <w:t xml:space="preserve"> стресс), обслуживание долга не превышает 50% ЧДП.</w:t>
      </w:r>
    </w:p>
    <w:p w14:paraId="172EF4E2" w14:textId="77777777" w:rsidR="008C6656" w:rsidRDefault="00000000">
      <w:r>
        <w:pict w14:anchorId="62F5E5E8">
          <v:rect id="_x0000_i1036" style="width:0;height:1.5pt" o:hralign="center" o:hrstd="t" o:hr="t"/>
        </w:pict>
      </w:r>
    </w:p>
    <w:p w14:paraId="7F75454F" w14:textId="77777777" w:rsidR="008C6656" w:rsidRPr="00690BAA" w:rsidRDefault="00000000">
      <w:pPr>
        <w:pStyle w:val="2"/>
        <w:rPr>
          <w:lang w:val="ru-RU"/>
        </w:rPr>
      </w:pPr>
      <w:bookmarkStart w:id="20" w:name="главная-цепочка-зависимостей"/>
      <w:bookmarkEnd w:id="19"/>
      <w:r w:rsidRPr="00690BAA">
        <w:rPr>
          <w:lang w:val="ru-RU"/>
        </w:rPr>
        <w:t>Главная цепочка зависимостей</w:t>
      </w:r>
    </w:p>
    <w:p w14:paraId="50F0E547" w14:textId="77777777" w:rsidR="008C6656" w:rsidRPr="00690BAA" w:rsidRDefault="00000000">
      <w:pPr>
        <w:pStyle w:val="FirstParagraph"/>
        <w:rPr>
          <w:lang w:val="ru-RU"/>
        </w:rPr>
      </w:pPr>
      <w:r w:rsidRPr="00690BAA">
        <w:rPr>
          <w:lang w:val="ru-RU"/>
        </w:rPr>
        <w:t xml:space="preserve">Темпы продаж влияют на </w:t>
      </w:r>
      <w:r>
        <w:t>DSCR</w:t>
      </w:r>
      <w:r w:rsidRPr="00690BAA">
        <w:rPr>
          <w:lang w:val="ru-RU"/>
        </w:rPr>
        <w:t xml:space="preserve"> через два канала одновременно:</w:t>
      </w:r>
    </w:p>
    <w:p w14:paraId="4498BF1E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 xml:space="preserve">Прямой: больше продаж — больше выручка — больше </w:t>
      </w:r>
      <w:r>
        <w:t>CFADS</w:t>
      </w:r>
      <w:r w:rsidRPr="00690BAA">
        <w:rPr>
          <w:lang w:val="ru-RU"/>
        </w:rPr>
        <w:t xml:space="preserve"> (числитель). Косвенный: больше продаж — больше эскроу — ниже эффективная ставка — меньше </w:t>
      </w:r>
      <w:r>
        <w:t>DS</w:t>
      </w:r>
      <w:r w:rsidRPr="00690BAA">
        <w:rPr>
          <w:lang w:val="ru-RU"/>
        </w:rPr>
        <w:t xml:space="preserve"> (знаменатель).</w:t>
      </w:r>
    </w:p>
    <w:p w14:paraId="32E8B213" w14:textId="77777777" w:rsidR="008C6656" w:rsidRPr="00690BAA" w:rsidRDefault="00000000">
      <w:pPr>
        <w:pStyle w:val="a0"/>
        <w:rPr>
          <w:lang w:val="ru-RU"/>
        </w:rPr>
      </w:pPr>
      <w:r w:rsidRPr="00690BAA">
        <w:rPr>
          <w:lang w:val="ru-RU"/>
        </w:rPr>
        <w:t xml:space="preserve">Эта двойная зависимость создаёт нелинейный эффект: небольшое замедление продаж ухудшает </w:t>
      </w:r>
      <w:r>
        <w:t>DSCR</w:t>
      </w:r>
      <w:r w:rsidRPr="00690BAA">
        <w:rPr>
          <w:lang w:val="ru-RU"/>
        </w:rPr>
        <w:t xml:space="preserve"> непропорционально сильно, потому что бьёт и по числителю, и по знаменателю. Именно эта нелинейность делает модель интересной для симуляции и отличает проектное финансирование по 214-ФЗ от обычного кредитования.</w:t>
      </w:r>
    </w:p>
    <w:p w14:paraId="5CD319C7" w14:textId="14CC4AC9" w:rsidR="008C6656" w:rsidRPr="004E5AC7" w:rsidRDefault="008C6656">
      <w:pPr>
        <w:pStyle w:val="a0"/>
        <w:rPr>
          <w:lang w:val="ru-RU"/>
        </w:rPr>
      </w:pPr>
      <w:bookmarkStart w:id="21" w:name="от-калькулятора-к-монте-карло"/>
      <w:bookmarkEnd w:id="0"/>
      <w:bookmarkEnd w:id="20"/>
      <w:bookmarkEnd w:id="21"/>
    </w:p>
    <w:sectPr w:rsidR="008C6656" w:rsidRPr="004E5AC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AEC77" w14:textId="77777777" w:rsidR="009D73D0" w:rsidRDefault="009D73D0">
      <w:pPr>
        <w:spacing w:after="0"/>
      </w:pPr>
      <w:r>
        <w:separator/>
      </w:r>
    </w:p>
  </w:endnote>
  <w:endnote w:type="continuationSeparator" w:id="0">
    <w:p w14:paraId="2936ADB4" w14:textId="77777777" w:rsidR="009D73D0" w:rsidRDefault="009D73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68B78" w14:textId="77777777" w:rsidR="009D73D0" w:rsidRDefault="009D73D0">
      <w:r>
        <w:separator/>
      </w:r>
    </w:p>
  </w:footnote>
  <w:footnote w:type="continuationSeparator" w:id="0">
    <w:p w14:paraId="73934087" w14:textId="77777777" w:rsidR="009D73D0" w:rsidRDefault="009D73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227A1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322123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656"/>
    <w:rsid w:val="000C60E1"/>
    <w:rsid w:val="004E5AC7"/>
    <w:rsid w:val="00690BAA"/>
    <w:rsid w:val="008C6656"/>
    <w:rsid w:val="009D73D0"/>
    <w:rsid w:val="00C46E98"/>
    <w:rsid w:val="00EA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CBC81"/>
  <w15:docId w15:val="{881A222C-D121-469B-BEA5-2FFE6822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1710</Words>
  <Characters>11188</Characters>
  <Application>Microsoft Office Word</Application>
  <DocSecurity>0</DocSecurity>
  <Lines>215</Lines>
  <Paragraphs>85</Paragraphs>
  <ScaleCrop>false</ScaleCrop>
  <Company/>
  <LinksUpToDate>false</LinksUpToDate>
  <CharactersWithSpaces>12813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Полицын Владислав Олегович</dc:creator>
  <cp:keywords/>
  <cp:lastModifiedBy>Полицын Владислав Олегович</cp:lastModifiedBy>
  <cp:revision>4</cp:revision>
  <dcterms:created xsi:type="dcterms:W3CDTF">2026-03-13T06:59:00Z</dcterms:created>
  <dcterms:modified xsi:type="dcterms:W3CDTF">2026-03-13T07:29:00Z</dcterms:modified>
</cp:coreProperties>
</file>