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EC-AMRpred: An Explainable k-mer-Based Platform for E. coli Antimicrobial Resistance Prediction and Biological Interpretation</w:t>
      </w:r>
    </w:p>
    <w:p/>
    <w:p>
      <w:pPr>
        <w:pStyle w:val="Heading1"/>
      </w:pPr>
      <w:r>
        <w:t>Abstract</w:t>
      </w:r>
    </w:p>
    <w:p>
      <w:r>
        <w:t>Antimicrobial resistance (AMR) in Escherichia coli remains a major public health challenge, driven by the emergence and dissemination of resistance determinants across clinical and environmental reservoirs. Traditional AMR detection pipelines frequently rely on culture-based phenotyping or targeted genetic assays, which are constrained by turnaround time, limited breadth of detection, and reduced interpretability. To address these limitations, we developed EC-AMRpred, a computational platform for rapid, explainable E. coli AMR prediction from sequence-derived features. The platform combines k-mer-based feature extraction with machine learning, model-driven feature prioritization, and biological interpretation against curated resistance and E. coli genomic reference databases.</w:t>
      </w:r>
    </w:p>
    <w:p>
      <w:r>
        <w:t>In the proposed workflow, genomic sequence content is converted into k-mer features, which serve as compact, high-dimensional representations of strain-level variation without requiring explicit annotation before model inference. A feature-selection step reduces the feature space to the most informative k-mers, after which a supervised LightGBM classifier estimates the probability of resistance to a given antibiotic. Importantly, the model does not rely on opaque prediction alone: it ranks the most relevant k-mers by native gain importance, filters these to the k-mers that are actually present in the individual isolate, and then maps the selected features to reference resistance and genomic databases to provide biological context for the decision. This design bridges predictive performance with interpretability, enabling a more transparent link between model output and plausible resistance mechanisms.</w:t>
      </w:r>
    </w:p>
    <w:p>
      <w:r>
        <w:t>EC-AMRpred is implemented as a clinician-facing web platform and an application programming interface supporting FASTA upload, antibiotic selection, and structured reporting. The system is designed to support clinical screening and translational research workflows, providing probability estimates, active feature explanation, and gene-level associations while preserving computational efficiency and operational accessibility. By combining statistical learning with mechanistic interpretation, EC-AMRpred advances the practical utility of genomics-informed AMR prediction for E. coli and establishes a framework that can be extended to additional organisms and resistance phenotypes.</w:t>
      </w:r>
    </w:p>
    <w:p/>
    <w:p>
      <w:pPr>
        <w:pStyle w:val="Heading1"/>
      </w:pPr>
      <w:r>
        <w:t>Introduction</w:t>
      </w:r>
    </w:p>
    <w:p>
      <w:r>
        <w:t>The rise of antimicrobial resistance has transformed infectious disease management into a data-intensive challenge spanning genomics, epidemiology, and clinical decision support. In E. coli, resistance phenotypes arise from a complex interplay of chromosomal background, mobile resistance determinants, and lineage-specific adaptation. These processes are not uniform across antibiotics or genomic backgrounds, and therefore a single marker strategy is rarely sufficient for robust prediction. This complexity has motivated the development of sequence-based analytical methods that can extract biologically meaningful signal from large and noisy genomic datasets.</w:t>
      </w:r>
    </w:p>
    <w:p>
      <w:r>
        <w:t>K-mer representations offer a particularly attractive solution for this problem. Because they model sequence composition without prior gene annotation, they are highly suitable for capturing variation arising from both known resistance elements and uncharacterized sequence motifs. In AMR prediction tasks, k-mers can encode local sequence patterns associated with resistance phenotypes and may reflect regulatory regions, horizontally acquired genes, or lineage-associated alterations. However, predictive value is highly context-dependent, and the resulting models can become difficult to interpret if treated as black boxes.</w:t>
      </w:r>
    </w:p>
    <w:p>
      <w:r>
        <w:t>This limitation is especially relevant in settings where model outputs are used to inform clinical decisions in microbiology, monitoring, or antimicrobial stewardship. For genomic AMR tools to be genuinely useful in translational practice, predictions must combine accuracy with interpretability. Without interpretability, a model may identify a resistance-associated pattern without clarifying whether the signal corresponds to a canonical resistance gene, a lineage-associated background, or a genomic feature of uncertain biological relevance.</w:t>
      </w:r>
    </w:p>
    <w:p>
      <w:r>
        <w:t>EC-AMRpred was developed to address this need. The platform integrates sequence-derived feature extraction, model-based probability estimation, and biological annotation into a unified decision-support workflow for E. coli. The central concept is not simply to classify isolates as susceptible or resistant, but to make the decision scientifically traceable. The system identifies which genome-derived features contribute most strongly to the final prediction, restricts this explanation to features actually present in the individual input sequence, and maps the most informative features to known resistance and E. coli reference databases to provide biologically grounded context. This approach aligns predictive modeling with genomic interpretation and supports the development of tools that are both analytically robust and clinically meaningful.</w:t>
      </w:r>
    </w:p>
    <w:p/>
    <w:p>
      <w:pPr>
        <w:pStyle w:val="Heading1"/>
      </w:pPr>
      <w:r>
        <w:t>Scientific Rationale and Platform Design</w:t>
      </w:r>
    </w:p>
    <w:p>
      <w:r>
        <w:t>The design of EC-AMRpred is motivated by three interconnected challenges in genomic AMR prediction. First, genomic sequence data are high-dimensional and heterogeneous; they contain informative biological signal but also substantial redundancy and noise. Second, even highly accurate classifiers can be difficult to trust when they provide no mechanistic insight into why a given strain is predicted as resistant or susceptible. Third, clinical and research workflows increasingly require outputs that are interpretable, transparent, and actionable rather than merely probabilistic labels.</w:t>
      </w:r>
    </w:p>
    <w:p>
      <w:r>
        <w:t>To address these challenges, the platform adopts a k-mer-based strategy that is both algorithmically flexible and biologically interpretable. K-mers provide a scalable representation of sequence composition and can be computed directly from FASTA data without extensive prior feature engineering. The workflow then applies a sparse selection step that retains only the most informative features before classification. In this setting, selected k-mers are not treated as arbitrary numerical features alone; they are interpreted as biologically meaningful sequence motifs whose contributions can be evaluated relative to the final prediction.</w:t>
      </w:r>
    </w:p>
    <w:p>
      <w:r>
        <w:t>A key design principle is the distinction between global feature importance and sample-specific explanation. Global importance captures the average contribution of a feature across the fitted model, whereas sample-specific explanation identifies which features are actually active in a given sequence. This distinction is essential for practical interpretation. A feature may be globally important to the model but absent in a specific isolate, and therefore it should not be used to explain that isolate’s prediction. EC-AMRpred therefore performs an active feature intersection: global gain importance is computed once for the fitted model, then intersected with the set of k-mers present in the input sequence. This yields a ranked list of active, model-relevant determinants for the specific sample, reducing noise and improving interpretability.</w:t>
      </w:r>
    </w:p>
    <w:p/>
    <w:p>
      <w:pPr>
        <w:pStyle w:val="Heading1"/>
      </w:pPr>
      <w:r>
        <w:t>Computational Workflow</w:t>
      </w:r>
    </w:p>
    <w:p>
      <w:r>
        <w:t>The EC-AMRpred workflow is designed to convert raw sequence input into a clinically interpretable resistance assessment. The pipeline begins with upload of a FASTA file containing the isolate sequence. The sequence is processed into k-mers using a fixed-length representation, which preserves local sequence composition while enabling scalable model training. The resulting k-mer profile is converted into a binary presence/absence representation aligned to the model vocabulary.</w:t>
      </w:r>
    </w:p>
    <w:p>
      <w:r>
        <w:t>The model is trained using a scikit-learn pipeline that includes feature selection followed by a gradient-boosted tree classifier implemented in LightGBM. The feature selection step ensures that only the most informative k-mers are retained before classification, improving model efficiency and reducing the influence of non-informative features. After the classifier estimates the probability of resistance, the model applies the antibiotic-specific decision threshold to determine the final binary classification.</w:t>
      </w:r>
    </w:p>
    <w:p>
      <w:r>
        <w:t>A defining feature of the platform is the explanation layer. Rather than relying on generic feature importance methods that are not well matched to the model’s native mechanism, EC-AMRpred uses the LightGBM gain importance metric. Gain importance is a native measure of the total reduction in training loss attributed to a feature and is particularly well suited to tree-based boosting models. In the single-sample prediction setting, the platform does not recalculate gain importance for each input sequence. Instead, it uses the global gain ranking learned during training and filters it to the k-mers actually present in the tested isolate. This preserves the biological meaning of the model’s global learned signal while tailoring the explanation to the features observed in the individual sample.</w:t>
      </w:r>
    </w:p>
    <w:p>
      <w:r>
        <w:t>The ranked active features are then mapped to reference databases for biological interpretation. Each selected k-mer is converted into a temporary FASTA record and queried against CARD, a curated catalogue of resistance-associated genes and variants, as well as an E. coli genomic reference database. Hits are classified according to whether they overlap with known resistance determinants, E. coli lineage-associated regions, or unmapped sequence space. This creates a biologically informed summary that links predictive signal to plausible resistance mechanisms and genomic context.</w:t>
      </w:r>
    </w:p>
    <w:p/>
    <w:p>
      <w:pPr>
        <w:pStyle w:val="Heading1"/>
      </w:pPr>
      <w:r>
        <w:t>Modeling Strategy and Explainability</w:t>
      </w:r>
    </w:p>
    <w:p>
      <w:r>
        <w:t>EC-AMRpred is intentionally designed around a supervised learning formulation that balances predictivity, interpretability, and deployment simplicity. The k-mer representation captures local nucleotide composition in a format that is highly scalable and robust to incomplete annotation. By reducing the feature space to the selected k-mers most strongly associated with resistance, the pipeline improves computational efficiency without discarding sequence-level information that underpins the model.</w:t>
      </w:r>
    </w:p>
    <w:p>
      <w:r>
        <w:t>The choice of LightGBM is particularly appropriate for this problem because tree-based boosting methods are effective for sparse, high-dimensional genomic features. The model can capture non-linear interactions among k-mers while maintaining relatively efficient training and prediction. More importantly, LightGBM provides a native measure of gain importance, allowing the explanation step to remain aligned with the model’s learned decision structure.</w:t>
      </w:r>
    </w:p>
    <w:p>
      <w:r>
        <w:t>This distinction is critical because it separates global model understanding from sample-level explanation. In the context of antimicrobial resistance, explainability is not a cosmetic layer; it is the mechanism by which the model’s output can be linked back to known resistance biology. By selecting active features using the model’s native gain scores, EC-AMRpred preserves statistical consistency between training and inference while improving interpretability for each isolate.</w:t>
      </w:r>
    </w:p>
    <w:p>
      <w:r>
        <w:t>The resulting output includes probability estimates, binary classification labels, and ranked active k-mers. These explainable features can be used to infer whether the isolate contains patterns consistent with resistance-associated sequence signatures, lineage-level variation, or novel genomic content. This supports both rapid screening and subsequent laboratory follow-up, especially in settings where model outputs must be scrutinized by clinicians, microbiologists, or genomics researchers.</w:t>
      </w:r>
    </w:p>
    <w:p/>
    <w:p>
      <w:pPr>
        <w:pStyle w:val="Heading1"/>
      </w:pPr>
      <w:r>
        <w:t>Biological Interpretation and Annotation</w:t>
      </w:r>
    </w:p>
    <w:p>
      <w:r>
        <w:t>The biological annotation layer is central to the platform’s research utility. Although a predictive probability is valuable for triage and screening, the ability to connect model outputs to specific resistance-associated genes or genomic neighborhoods substantially increases interpretability. In EC-AMRpred, the top-ranked active k-mers are submitted to BLAST against the CARD database and an E. coli reference database. This process allows the platform to determine whether a selected sequence motif overlaps with known resistance determinants, a lineage-associated region, or an unmapped sequence signal.</w:t>
      </w:r>
    </w:p>
    <w:p>
      <w:r>
        <w:t>This dual-database strategy addresses an important interpretive challenge. Resistance prediction in E. coli is not limited to known resistance genes alone; it can also involve subtle sequence patterns associated with regulatory regions, gene families, or mobile-element-linked variation. By comparing against both AMR-focused and organism-specific genomic databases, the platform distinguishes between likely resistance mechanisms and features that may reflect broader genomic background. The result is a biologically grounded statement that is more informative than a binary resistant/susceptible prediction alone.</w:t>
      </w:r>
    </w:p>
    <w:p>
      <w:r>
        <w:t>The annotation output is designed to support a research workflow in which model-informed hypotheses can be evaluated against existing genomic knowledge. In cases where a gene is mapped to a CARD resistance determinant, the association is flagged as a plausible resistance mechanism. When no direct CARD hit is present but the feature maps to the E. coli genome, the result is interpreted more cautiously as a lineage-associated or non-canonical genomic signal. Features that do not map to either database are treated as unmapped or potentially spurious, which reinforces the importance of explainability rather than uncritical acceptance of model output.</w:t>
      </w:r>
    </w:p>
    <w:p/>
    <w:p>
      <w:pPr>
        <w:pStyle w:val="Heading1"/>
      </w:pPr>
      <w:r>
        <w:t>Platform Implementation and Translational Significance</w:t>
      </w:r>
    </w:p>
    <w:p>
      <w:r>
        <w:t>In addition to its scientific logic, EC-AMRpred is implemented as an accessible analytical platform for sequence upload, antibiotic selection, and structured reporting. The user-facing interface allows an input FASTA file to be uploaded, the target antibiotic to be selected, and the prediction summary to be reviewed in a concise and interpretable form. From a systems perspective, the platform is designed to minimize friction in real-world use by abstracting the complexity of upstream feature engineering and downstream annotation into a streamlined workflow.</w:t>
      </w:r>
    </w:p>
    <w:p>
      <w:r>
        <w:t>This is important because clinical and public health applications frequently fail not because the model is inaccurate, but because the workflow is too difficult to operationalize. A platform that requires substantial manual preprocessing or produces uninterpretable outputs is unlikely to be adopted in routine screening or research pipelines. EC-AMRpred addresses this by combining computational rigor with a user-centered interface that can be used by investigators, microbiologists, and computational biologists without requiring expert knowledge of the underlying model architecture.</w:t>
      </w:r>
    </w:p>
    <w:p>
      <w:r>
        <w:t>The broader significance of the platform lies in its ability to unify prediction and interpretation. AMR surveillance increasingly depends on sequence-based methods that can generate actionable insight rapidly, and E. coli remains a major target because of its clinical prevalence and capacity to harbor a broad range of resistance determinants. By coupling a strong predictive model with biological interpretation and a practical interface, the platform supports both translational assessment and research-driven exploration of AMR mechanisms in E. coli.</w:t>
      </w:r>
    </w:p>
    <w:p/>
    <w:p>
      <w:pPr>
        <w:pStyle w:val="Heading1"/>
      </w:pPr>
      <w:r>
        <w:t>Limitations and Future Directions</w:t>
      </w:r>
    </w:p>
    <w:p>
      <w:r>
        <w:t>Despite its advantages, EC-AMRpred is best understood as a translational and research-oriented platform rather than a replacement for phenotypic laboratory testing. The system is designed to provide probabilistic, explainable resistance predictions, but it does not eliminate the need for confirmatory microbiological validation in high-stakes clinical scenarios. In particular, the interpretive value of k-mer-based explanations depends on the quality and completeness of the reference databases, the training set composition, and the biological diversity represented in the model.</w:t>
      </w:r>
    </w:p>
    <w:p>
      <w:r>
        <w:t>Future extensions of the platform should include broader organism coverage, more comprehensive antibiotic-specific metadata, and validation across geographically diverse and clinically representative datasets. Additional work could also integrate quantitative phenotypic labels, multi-drug resistance patterns, and longitudinal resistance trends to improve model calibration and biological precision. The explainability layer may be further extended by incorporating richer pathway-level or gene-family annotation, enabling a more nuanced interpretation of resistance-associated sequence signatures.</w:t>
      </w:r>
    </w:p>
    <w:p>
      <w:r>
        <w:t>Taken together, these future directions emphasize that EC-AMRpred is not simply a predictive app but a framework for interpretable genomic surveillance. Its value lies in demonstrating how machine learning, sequence-based feature engineering, and biological annotation can be combined into a coherent system for understanding antimicrobial resistance in E. coli.</w:t>
      </w:r>
    </w:p>
    <w:p/>
    <w:p>
      <w:pPr>
        <w:pStyle w:val="Heading1"/>
      </w:pPr>
      <w:r>
        <w:t>Conclusion</w:t>
      </w:r>
    </w:p>
    <w:p>
      <w:r>
        <w:t>EC-AMRpred represents a computational strategy for E. coli AMR prediction that emphasizes both predictive performance and biological interpretability. By combining k-mer-based representation, LightGBM classification, gain-based feature explanation, and reference database annotation, the platform translates sequence data into a decision-support output that is scientifically grounded and operationally accessible. The active feature intersection strategy is particularly important because it ensures that the explanation is tailored to the observed isolate rather than relying on model-wide averages that may not be relevant to the input sample.</w:t>
      </w:r>
    </w:p>
    <w:p>
      <w:r>
        <w:t>This design is aligned with a broader need in AMR research and clinical informatics: to move beyond opaque prediction and toward transparent, evidence-linked interpretation. In an era where resistance is evolving rapidly and clinical decisions demand both speed and precision, platforms such as EC-AMRpred provide a timely and technologically principled approach to genomic AMR assessment. The system demonstrates that explainable machine learning does not need to sacrifice performance, and that biologically grounded interpretation can become a core feature of modern surveillance and stewardship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