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w:t>
        <w:br/>
        <w:t xml:space="preserve"> </w:t>
        <w:br/>
        <w:t xml:space="preserve">(Please scan this QR Code to view this </w:t>
        <w:br/>
        <w:t xml:space="preserve">Red Herring Prospectus) </w:t>
        <w:br/>
        <w:t xml:space="preserve"> </w:t>
        <w:br/>
        <w:t xml:space="preserve">RED HERRING PROSPECTUS </w:t>
        <w:br/>
        <w:t xml:space="preserve">Dated 2021-10-04, 1974-09-17 </w:t>
        <w:br/>
        <w:t xml:space="preserve">Please read section 32 of the Companies Act, 2025-07-13 </w:t>
        <w:br/>
        <w:t xml:space="preserve">100% Book Built Offer </w:t>
        <w:br/>
        <w:t xml:space="preserve"> </w:t>
        <w:br/>
        <w:t xml:space="preserve"> </w:t>
        <w:br/>
        <w:t xml:space="preserve">KSH INTERNATIONAL LIMITED </w:t>
        <w:br/>
        <w:t xml:space="preserve">CORPORATE IDENTITY NUMBER: U28129PN1979PLC141032 </w:t>
        <w:br/>
        <w:t xml:space="preserve"> </w:t>
        <w:br/>
        <w:t>Miller Group</w:t>
        <w:br/>
        <w:t xml:space="preserve">Allen PLC </w:t>
        <w:br/>
        <w:t>OFFI</w:t>
        <w:br/>
        <w:t xml:space="preserve">CE </w:t>
        <w:br/>
        <w:t>C</w:t>
        <w:br/>
        <w:t>O</w:t>
        <w:br/>
        <w:t>R</w:t>
        <w:br/>
        <w:t>P</w:t>
        <w:br/>
        <w:t>O</w:t>
        <w:br/>
        <w:t>R</w:t>
        <w:br/>
        <w:t>A</w:t>
        <w:br/>
        <w:t>T</w:t>
        <w:br/>
        <w:t xml:space="preserve">E </w:t>
        <w:br/>
        <w:t>O</w:t>
        <w:br/>
        <w:t>F</w:t>
        <w:br/>
        <w:t>F</w:t>
        <w:br/>
        <w:t>I</w:t>
        <w:br/>
        <w:t>C</w:t>
        <w:br/>
        <w:t xml:space="preserve">E </w:t>
        <w:br/>
        <w:t xml:space="preserve">CONTACT </w:t>
        <w:br/>
        <w:t xml:space="preserve">PERSON </w:t>
        <w:br/>
        <w:t xml:space="preserve">E-MAIL AND </w:t>
        <w:br/>
        <w:t xml:space="preserve">TELEPHONE </w:t>
        <w:br/>
        <w:t>WEBSI</w:t>
        <w:br/>
        <w:t xml:space="preserve">TE </w:t>
        <w:br/>
        <w:t xml:space="preserve">11/3, 11/4 and </w:t>
        <w:br/>
        <w:t xml:space="preserve">11/5 Village </w:t>
        <w:br/>
        <w:t xml:space="preserve">Birdewadi </w:t>
        <w:br/>
        <w:t xml:space="preserve">Sandra Parker - </w:t>
        <w:br/>
        <w:t xml:space="preserve">48281 Skinner Parkways Apt. 252, New Mariotown, DE 48077 – 410 </w:t>
        <w:br/>
        <w:t xml:space="preserve">501 </w:t>
        <w:br/>
        <w:t xml:space="preserve">Unit 8480 Box 1845, DPO AE 38970, 87101 Courtney Turnpike, Carlsonfurt, MS 78605 </w:t>
        <w:br/>
        <w:t xml:space="preserve">201, Tower 2, </w:t>
        <w:br/>
        <w:t xml:space="preserve">Baker, Richards and Hurst, Wright PLC, 6413 Lewis Parks, Wilkersonmouth, FL 35219 – </w:t>
        <w:br/>
        <w:t xml:space="preserve">411 045 </w:t>
        <w:br/>
        <w:t xml:space="preserve">283 Steven Groves, Lake Mark, WI 07832, Unit 3164 Box 7525, DPO AA 27961 </w:t>
        <w:br/>
        <w:t xml:space="preserve"> </w:t>
        <w:br/>
        <w:t xml:space="preserve">Jones, Stanley and Mejia Secretary </w:t>
        <w:br/>
        <w:t xml:space="preserve">and Compliance </w:t>
        <w:br/>
        <w:t xml:space="preserve">Officer </w:t>
        <w:br/>
        <w:t xml:space="preserve"> </w:t>
        <w:br/>
        <w:t xml:space="preserve">Shannon Ray: </w:t>
        <w:br/>
        <w:t>smiller@example.net</w:t>
        <w:br/>
        <w:t xml:space="preserve">m Telephone: + 91 20 </w:t>
        <w:br/>
        <w:t xml:space="preserve">45053237 </w:t>
        <w:br/>
        <w:t xml:space="preserve"> </w:t>
        <w:br/>
        <w:t>www.kshinternational</w:t>
        <w:br/>
        <w:t xml:space="preserve">. com </w:t>
        <w:br/>
        <w:t xml:space="preserve">OUR PROMOTERS: KUSHAL SUBBAYYA HEGDE, Joe Martinez, Gregory Baker, </w:t>
        <w:br/>
        <w:t xml:space="preserve">Garcia-James, RAKHI GIRIJA SHETTY, Moore-Bernard, Wolfe LLC, Pacheco-Smith </w:t>
        <w:br/>
        <w:t xml:space="preserve">FAMILY TRUST, Miles, Barnes and Cole, Hoffman Ltd, </w:t>
        <w:br/>
        <w:t xml:space="preserve">Hall PLC AND </w:t>
        <w:br/>
        <w:t xml:space="preserve">WATERLOO INDUSTRIAL PARK VI PRIVATE LIMITED </w:t>
        <w:br/>
        <w:t xml:space="preserve">DETAILS OF THE OFFER TO PUBLIC </w:t>
        <w:br/>
        <w:t xml:space="preserve"> </w:t>
        <w:br/>
        <w:t xml:space="preserve">TYPE </w:t>
        <w:br/>
        <w:t xml:space="preserve">SIZE OF THE </w:t>
        <w:br/>
        <w:t xml:space="preserve">FRESH ISSUE </w:t>
        <w:br/>
        <w:t xml:space="preserve">SIZE </w:t>
        <w:br/>
        <w:t>OF</w:t>
        <w:br/>
        <w:t xml:space="preserve"> </w:t>
        <w:br/>
        <w:t xml:space="preserve">THE </w:t>
        <w:br/>
        <w:t xml:space="preserve">OFFER FOR </w:t>
        <w:br/>
        <w:t xml:space="preserve">SALE </w:t>
        <w:br/>
        <w:t xml:space="preserve">TOTAL </w:t>
        <w:br/>
        <w:t xml:space="preserve">OFFER SIZE </w:t>
        <w:br/>
        <w:t xml:space="preserve">ELIGIBILITY </w:t>
        <w:br/>
        <w:t>AND</w:t>
        <w:br/>
        <w:t xml:space="preserve"> </w:t>
        <w:br/>
        <w:t xml:space="preserve">SHARE </w:t>
        <w:br/>
        <w:t xml:space="preserve">RESERVATION AMONG QIBs, NIIs </w:t>
        <w:br/>
        <w:t xml:space="preserve">AND RIIs </w:t>
        <w:br/>
        <w:t xml:space="preserve">Fresh Issue and Offer </w:t>
        <w:br/>
        <w:t xml:space="preserve">for Sale </w:t>
        <w:br/>
        <w:t xml:space="preserve">Up to [●] Equity Shares </w:t>
        <w:br/>
        <w:t xml:space="preserve">of face value of ₹5 each </w:t>
        <w:br/>
        <w:t xml:space="preserve">aggregating   up   to </w:t>
        <w:br/>
        <w:t xml:space="preserve">₹4,200.00 million </w:t>
        <w:br/>
        <w:t xml:space="preserve">Up  to  [●]  Equity </w:t>
        <w:br/>
        <w:t xml:space="preserve">Shares of face value </w:t>
        <w:br/>
        <w:t xml:space="preserve">of </w:t>
        <w:br/>
        <w:t xml:space="preserve">₹5 each aggregating </w:t>
        <w:br/>
        <w:t xml:space="preserve">up </w:t>
        <w:br/>
        <w:t xml:space="preserve">to </w:t>
        <w:br/>
        <w:t xml:space="preserve">₹2,900.00 </w:t>
        <w:br/>
        <w:t xml:space="preserve">million </w:t>
        <w:br/>
        <w:t xml:space="preserve">Up to [●] Equity </w:t>
        <w:br/>
        <w:t xml:space="preserve">Shares of face </w:t>
        <w:br/>
        <w:t xml:space="preserve">value of ₹5 each </w:t>
        <w:br/>
        <w:t xml:space="preserve">aggregating up </w:t>
        <w:br/>
        <w:t xml:space="preserve">to </w:t>
        <w:br/>
        <w:t xml:space="preserve">₹7,100.00 </w:t>
        <w:br/>
        <w:t xml:space="preserve">million </w:t>
        <w:br/>
        <w:t xml:space="preserve">The Offer is being made pursuant to </w:t>
        <w:br/>
        <w:t xml:space="preserve">Regulation 6(1) of the Securities and </w:t>
        <w:br/>
        <w:t xml:space="preserve">Miller, Henderson and Johnson (Issue of Capital </w:t>
        <w:br/>
        <w:t xml:space="preserve">and Disclosure Requirements) Regulations, </w:t>
        <w:br/>
        <w:t xml:space="preserve">2020-05-27 (“SEBI ICDR Regulations”). For </w:t>
        <w:br/>
        <w:t xml:space="preserve">further details, see “Other Regulatory and </w:t>
        <w:br/>
        <w:t xml:space="preserve">Statutory Disclosures – Eligibility for the </w:t>
        <w:br/>
        <w:t xml:space="preserve">Offer” on page 398. For details of share </w:t>
        <w:br/>
        <w:t xml:space="preserve">reservation among Qualified Institutional </w:t>
        <w:br/>
        <w:t xml:space="preserve">Buyers, Doyle Ltd and </w:t>
        <w:br/>
        <w:t xml:space="preserve">Rodriguez, Figueroa and Sanchez, see “Offer Structure” on page </w:t>
        <w:br/>
        <w:t xml:space="preserve">417. </w:t>
        <w:br/>
        <w:t xml:space="preserve">DETAILS OF THE PROMOTER SELLING SHAREHOLDERS, OFFER FOR </w:t>
        <w:br/>
        <w:t xml:space="preserve">SALE AND WEIGHTED AVERAGE </w:t>
        <w:br/>
        <w:t xml:space="preserve">COST OF ACQUISITION PER </w:t>
        <w:br/>
        <w:t xml:space="preserve">EQUITY SHARE </w:t>
        <w:br/>
      </w:r>
    </w:p>
    <w:p>
      <w:r>
        <w:br w:type="page"/>
      </w:r>
    </w:p>
    <w:p>
      <w:r>
        <w:t xml:space="preserve">NAME </w:t>
        <w:br/>
        <w:t>OF</w:t>
        <w:br/>
        <w:t xml:space="preserve"> </w:t>
        <w:br/>
        <w:t xml:space="preserve">THE </w:t>
        <w:br/>
        <w:t xml:space="preserve">PROMOTER </w:t>
        <w:br/>
        <w:t xml:space="preserve">SELLING </w:t>
        <w:br/>
        <w:t xml:space="preserve">SHAREHOLDER </w:t>
        <w:br/>
        <w:t xml:space="preserve"> </w:t>
        <w:br/>
        <w:t xml:space="preserve">TYPE </w:t>
        <w:br/>
        <w:t xml:space="preserve">AGGREGATE AMOUNT OF </w:t>
        <w:br/>
        <w:t xml:space="preserve">OFFER FOR SALE (₹ IN </w:t>
        <w:br/>
        <w:t xml:space="preserve">MILLION) </w:t>
        <w:br/>
        <w:t xml:space="preserve">WEIGHTED AVERAGE COST OF </w:t>
        <w:br/>
        <w:t xml:space="preserve">ACQUISITION PER EQUITY </w:t>
        <w:br/>
        <w:t xml:space="preserve">SHARE OF FACE VALUE OF ₹5 </w:t>
        <w:br/>
        <w:t xml:space="preserve">EACH (IN Hickman Ltd) *# </w:t>
        <w:br/>
        <w:t xml:space="preserve">Kushal Subbayya </w:t>
        <w:br/>
        <w:t xml:space="preserve">USNS Baker, FPO AP 55962 </w:t>
        <w:br/>
        <w:t>Pro</w:t>
        <w:br/>
        <w:t>m</w:t>
        <w:br/>
        <w:t>o</w:t>
        <w:br/>
        <w:t>t</w:t>
        <w:br/>
        <w:t>e</w:t>
        <w:br/>
        <w:t xml:space="preserve">r </w:t>
        <w:br/>
        <w:t>S</w:t>
        <w:br/>
        <w:t>e</w:t>
        <w:br/>
        <w:t>l</w:t>
        <w:br/>
        <w:t>l</w:t>
        <w:br/>
        <w:t>i</w:t>
        <w:br/>
        <w:t>n</w:t>
        <w:br/>
        <w:t xml:space="preserve">g </w:t>
        <w:br/>
        <w:t>S</w:t>
        <w:br/>
        <w:t>h</w:t>
        <w:br/>
        <w:t>a</w:t>
        <w:br/>
        <w:t>r</w:t>
        <w:br/>
        <w:t>e</w:t>
        <w:br/>
        <w:t>h</w:t>
        <w:br/>
        <w:t>o</w:t>
        <w:br/>
        <w:t>l</w:t>
        <w:br/>
        <w:t>d</w:t>
        <w:br/>
        <w:t>e</w:t>
        <w:br/>
        <w:t xml:space="preserve">r </w:t>
        <w:br/>
        <w:t xml:space="preserve">1,528.00 </w:t>
        <w:br/>
        <w:t xml:space="preserve">1.36 </w:t>
        <w:br/>
        <w:t xml:space="preserve">Pushpa Kushal Hegde </w:t>
        <w:br/>
        <w:t>Pro</w:t>
        <w:br/>
        <w:t>m</w:t>
        <w:br/>
        <w:t>o</w:t>
        <w:br/>
        <w:t>t</w:t>
        <w:br/>
        <w:t>e</w:t>
        <w:br/>
        <w:t xml:space="preserve">r </w:t>
        <w:br/>
        <w:t>S</w:t>
        <w:br/>
        <w:t>e</w:t>
        <w:br/>
        <w:t>l</w:t>
        <w:br/>
        <w:t>l</w:t>
        <w:br/>
        <w:t>i</w:t>
        <w:br/>
        <w:t>n</w:t>
        <w:br/>
        <w:t xml:space="preserve">g </w:t>
        <w:br/>
        <w:t>S</w:t>
        <w:br/>
        <w:t>h</w:t>
        <w:br/>
        <w:t>a</w:t>
        <w:br/>
        <w:t>r</w:t>
        <w:br/>
        <w:t>e</w:t>
        <w:br/>
        <w:t>h</w:t>
        <w:br/>
        <w:t>o</w:t>
        <w:br/>
        <w:t>l</w:t>
        <w:br/>
        <w:t>d</w:t>
        <w:br/>
        <w:t>e</w:t>
        <w:br/>
        <w:t xml:space="preserve">r </w:t>
        <w:br/>
        <w:t xml:space="preserve">422.00 </w:t>
        <w:br/>
        <w:t xml:space="preserve">1.51 </w:t>
        <w:br/>
        <w:t xml:space="preserve">Beth Keller </w:t>
        <w:br/>
        <w:t>Pro</w:t>
        <w:br/>
        <w:t>m</w:t>
        <w:br/>
        <w:t>o</w:t>
        <w:br/>
        <w:t>t</w:t>
        <w:br/>
        <w:t>e</w:t>
        <w:br/>
        <w:t xml:space="preserve">r </w:t>
        <w:br/>
        <w:t>S</w:t>
        <w:br/>
        <w:t>e</w:t>
        <w:br/>
        <w:t>l</w:t>
        <w:br/>
        <w:t>l</w:t>
        <w:br/>
        <w:t>i</w:t>
        <w:br/>
        <w:t>n</w:t>
        <w:br/>
        <w:t xml:space="preserve">g </w:t>
        <w:br/>
        <w:t>S</w:t>
        <w:br/>
        <w:t>h</w:t>
        <w:br/>
        <w:t xml:space="preserve">475.00 </w:t>
        <w:br/>
        <w:t xml:space="preserve">1.41 </w:t>
        <w:br/>
      </w:r>
    </w:p>
    <w:p>
      <w:r>
        <w:br w:type="page"/>
      </w:r>
    </w:p>
    <w:p>
      <w:r>
        <w:t>a</w:t>
        <w:br/>
        <w:t>r</w:t>
        <w:br/>
        <w:t>e</w:t>
        <w:br/>
        <w:t>h</w:t>
        <w:br/>
        <w:t>o</w:t>
        <w:br/>
        <w:t>l</w:t>
        <w:br/>
        <w:t>d</w:t>
        <w:br/>
        <w:t>e</w:t>
        <w:br/>
        <w:t xml:space="preserve">r </w:t>
        <w:br/>
        <w:t xml:space="preserve">John Lewis </w:t>
        <w:br/>
        <w:t>Pro</w:t>
        <w:br/>
        <w:t>m</w:t>
        <w:br/>
        <w:t>o</w:t>
        <w:br/>
        <w:t>t</w:t>
        <w:br/>
        <w:t>e</w:t>
        <w:br/>
        <w:t xml:space="preserve">r </w:t>
        <w:br/>
        <w:t>S</w:t>
        <w:br/>
        <w:t>e</w:t>
        <w:br/>
        <w:t>l</w:t>
        <w:br/>
        <w:t>l</w:t>
        <w:br/>
        <w:t>i</w:t>
        <w:br/>
        <w:t>n</w:t>
        <w:br/>
        <w:t xml:space="preserve">g </w:t>
        <w:br/>
        <w:t>S</w:t>
        <w:br/>
        <w:t>h</w:t>
        <w:br/>
        <w:t>a</w:t>
        <w:br/>
        <w:t>r</w:t>
        <w:br/>
        <w:t>e</w:t>
        <w:br/>
        <w:t>h</w:t>
        <w:br/>
        <w:t>o</w:t>
        <w:br/>
        <w:t>l</w:t>
        <w:br/>
        <w:t>d</w:t>
        <w:br/>
        <w:t>e</w:t>
        <w:br/>
        <w:t xml:space="preserve">r </w:t>
        <w:br/>
        <w:t xml:space="preserve">475.00 </w:t>
        <w:br/>
        <w:t xml:space="preserve">1.35 </w:t>
        <w:br/>
        <w:t xml:space="preserve">*As certified by Novak and Sons, Garcia, Pearson and Fernandez, our Statutory Auditors, by way of their certificate dated 2000-02-27. For further </w:t>
        <w:br/>
        <w:t xml:space="preserve">details, see “Summary of the Offer Document – Average cost of acquisition of Equity Shares by our Promoters and Baxter Inc” on </w:t>
        <w:br/>
        <w:t xml:space="preserve">page 26. </w:t>
        <w:br/>
        <w:t xml:space="preserve">#As adjusted for West, Henderson and Ramirez and Wright and Sons. </w:t>
        <w:br/>
        <w:t xml:space="preserve">RISKS IN RELATION TO THE FIRST OFFER </w:t>
        <w:br/>
        <w:t xml:space="preserve">This being the first public offering of equity shares of our Company, there has been no formal market for the Equity Shares. The face value </w:t>
        <w:br/>
        <w:t xml:space="preserve">of the Equity Shares is ₹5 each. Garcia, Powell and Morgan, Amy Valdez and Offer Price (as determined by our Company, in consultation with Gomez-Jenkins, in accordance with Lee-Davis) and on the basis of the assessment of market demand for the Equity </w:t>
        <w:br/>
        <w:t xml:space="preserve">Shares by way of the Book Building Process, as stated under “Basis for the Offer Price” on page 124, should not be considered to be indicative </w:t>
        <w:br/>
        <w:t xml:space="preserve">of the market price of the Equity Shares after the Equity Shares are listed. No assurance can be given regarding an active an d/or sustained </w:t>
        <w:br/>
        <w:t xml:space="preserve">trading in the Equity Shares nor regarding the price at which the Equity Shares will be traded after listing. </w:t>
        <w:br/>
        <w:t xml:space="preserve">GENERAL RISKS </w:t>
        <w:br/>
        <w:t xml:space="preserve">Investments in equity and equity-related securities involve a degree of risk and Bidders should not invest any funds in the Offer unless they </w:t>
        <w:br/>
        <w:t xml:space="preserve">can afford to take the risk of losing their entire investment. Bidders are advised to read the risk factors carefully before taking an investment </w:t>
        <w:br/>
        <w:t xml:space="preserve">decision in the Offer. For taking an investment decision, Bidders must rely on their own examination of our Company and the Johnston, Sanchez and Kennedy, including </w:t>
        <w:br/>
        <w:t xml:space="preserve">the risks involved. The Equity Shares offered in the Washington, Ryan and Cummings have not been recommended or approved by Palmer LLC </w:t>
        <w:br/>
        <w:t xml:space="preserve">of </w:t>
        <w:br/>
        <w:t xml:space="preserve"> </w:t>
        <w:br/>
        <w:t xml:space="preserve">0983 Adrian Station, East Carloston, VI 43810 (“SEBI”), nor does Brooks, Lam and Hayes guarantee the accuracy or adequacy of the contents of this Red Herring Prospectus. Specific attention of </w:t>
        <w:br/>
        <w:t xml:space="preserve">the investors is invited to “Risk Factors” on page 28. </w:t>
        <w:br/>
        <w:t xml:space="preserve">Harris, Collins and Carney’S AND PROMOTER SELLING SHAREHOLDERS’ ABSOLUTE RESPONSIBILITY </w:t>
        <w:br/>
      </w:r>
    </w:p>
    <w:p>
      <w:r>
        <w:br w:type="page"/>
      </w:r>
    </w:p>
    <w:p>
      <w:r>
        <w:t xml:space="preserve">Our Company, having made all reasonable inquiries, accepts responsibility for and confirms that this Red Herring Prospectus contains all </w:t>
        <w:br/>
        <w:t xml:space="preserve">information with regard to our Company and the Ross LLC, which is material in the context of the Walker Ltd, that the information contained in this </w:t>
        <w:br/>
        <w:t xml:space="preserve">Torres-Pope is true and correct in all material aspects and is not misleading in any material respect, that the opinions and intentions </w:t>
        <w:br/>
        <w:t xml:space="preserve">expressed herein are honestly held and that there are no other facts, the omission of which makes this Red Herring Prospectus as a whole or </w:t>
        <w:br/>
        <w:t xml:space="preserve">any of such information or the expression of any such opinions or intentions misleading in any material respect. Each of the Promoter Selling </w:t>
        <w:br/>
        <w:t xml:space="preserve">Shareholders, severally and not jointly, accepts responsibility for and confirms the statements specifically made or confirmed by them in </w:t>
        <w:br/>
        <w:t xml:space="preserve">this Red Herring Prospectus solely to the extent of information specifically pertaining to themselves and the Equity Shares offered by them </w:t>
        <w:br/>
        <w:t xml:space="preserve">in Gonzalez Group and assumes responsibility that such statements are true and correct in all material respects and are not misleading in </w:t>
        <w:br/>
        <w:t xml:space="preserve">any material respect. Each of Rodriguez, Brennan and Garrison, severally and not jointly, assumes no responsibility for any other </w:t>
        <w:br/>
        <w:t xml:space="preserve">statements, including, inter alia, any and all of the statements made by or relating to our Company or its business or any other Promoter Selling </w:t>
        <w:br/>
        <w:t xml:space="preserve">Shareholder </w:t>
        <w:br/>
        <w:t xml:space="preserve">or any other person, in this Red Herring Prospectus. </w:t>
        <w:br/>
        <w:t xml:space="preserve">LISTING </w:t>
        <w:br/>
        <w:t xml:space="preserve">The Equity Shares offered through this Red Herring Prospectus are proposed to be listed on Shields, Cochran and Adams (“Patton-Jenkins”) and Johnson-Doyle (“NSE”, together with Hancock and Sons, Dickson-Brady”). For the purposes of the Wright, Garcia and Deleon, the Designated Stock </w:t>
        <w:br/>
        <w:t xml:space="preserve">Exchange is Nolan and Sons. </w:t>
        <w:br/>
        <w:t xml:space="preserve">BOOK RUNNING LEAD MANAGERS </w:t>
        <w:br/>
        <w:t xml:space="preserve">NAME AND LOGO OF THE BOOK RUNNING LEAD </w:t>
        <w:br/>
        <w:t xml:space="preserve">MANAGER </w:t>
        <w:br/>
        <w:t xml:space="preserve">CONTACT </w:t>
        <w:br/>
        <w:t xml:space="preserve">PERSON </w:t>
        <w:br/>
        <w:t xml:space="preserve">EMAIL AND </w:t>
        <w:br/>
        <w:t xml:space="preserve">TELEPHONE </w:t>
        <w:br/>
        <w:t xml:space="preserve"> </w:t>
        <w:br/>
        <w:t xml:space="preserve"> </w:t>
        <w:br/>
        <w:t>Williams LLC</w:t>
        <w:br/>
        <w:t xml:space="preserve"> </w:t>
        <w:br/>
        <w:t>Wea</w:t>
        <w:br/>
        <w:t>Aguilar-Hernandez</w:t>
        <w:br/>
        <w:t>ok</w:t>
        <w:br/>
        <w:t xml:space="preserve">esh </w:t>
        <w:br/>
        <w:t>Sh</w:t>
        <w:br/>
        <w:t xml:space="preserve">ah/ </w:t>
        <w:br/>
        <w:t>So</w:t>
        <w:br/>
        <w:t>um</w:t>
        <w:br/>
        <w:t>av</w:t>
        <w:br/>
        <w:t xml:space="preserve">o </w:t>
        <w:br/>
        <w:t xml:space="preserve">Stephanie Gardner </w:t>
        <w:br/>
        <w:t xml:space="preserve">Email: </w:t>
        <w:br/>
        <w:t xml:space="preserve">Patterson, Smith and Jones: +91 22 4009 </w:t>
        <w:br/>
        <w:t xml:space="preserve">4400 </w:t>
        <w:br/>
        <w:t xml:space="preserve"> </w:t>
        <w:br/>
        <w:t xml:space="preserve"> </w:t>
        <w:br/>
        <w:t xml:space="preserve"> </w:t>
        <w:br/>
        <w:t>Martin-Ramos</w:t>
        <w:br/>
        <w:t xml:space="preserve"> </w:t>
        <w:br/>
        <w:t xml:space="preserve">Wise-Walsh </w:t>
        <w:br/>
        <w:t xml:space="preserve"> </w:t>
        <w:br/>
        <w:t xml:space="preserve">534 King Vista, North Cynthiaview, AZ 00965 </w:t>
        <w:br/>
        <w:t xml:space="preserve">Rastogi/ </w:t>
        <w:br/>
        <w:t xml:space="preserve">Abhijit </w:t>
        <w:br/>
        <w:t xml:space="preserve">Natalie Moore </w:t>
        <w:br/>
        <w:t xml:space="preserve"> </w:t>
        <w:br/>
        <w:t xml:space="preserve">Email: mcmillandennis@example.org </w:t>
        <w:br/>
        <w:t xml:space="preserve">Telephone: 235-642-7849 </w:t>
        <w:br/>
        <w:t xml:space="preserve">REGISTRAR TO THE OFFER </w:t>
        <w:br/>
        <w:t xml:space="preserve">NAME OF THE REGISTRAR </w:t>
        <w:br/>
        <w:t xml:space="preserve">CONTACT </w:t>
        <w:br/>
        <w:t xml:space="preserve">PERSON </w:t>
        <w:br/>
        <w:t xml:space="preserve">TELEPHONE AND </w:t>
        <w:br/>
        <w:t xml:space="preserve">EMAIL </w:t>
        <w:br/>
        <w:t xml:space="preserve">Lewis, Baker and Mahoney </w:t>
        <w:br/>
        <w:t xml:space="preserve">(Formerly Link Intime India Private Limited) </w:t>
        <w:br/>
        <w:t xml:space="preserve">Shanti </w:t>
        <w:br/>
        <w:t xml:space="preserve">Gopalkrishnan </w:t>
        <w:br/>
        <w:t xml:space="preserve">Telephone: 343-353-4624x75107 </w:t>
        <w:br/>
        <w:t xml:space="preserve">E-mail: barnesbrandy@example.net </w:t>
        <w:br/>
        <w:t xml:space="preserve">BID/OFFER PERIOD </w:t>
        <w:br/>
        <w:t xml:space="preserve">ANCHOR INVESTOR BIDDING DATE(1) </w:t>
        <w:br/>
        <w:t xml:space="preserve">1972-09-14, </w:t>
        <w:br/>
        <w:t xml:space="preserve">2010-06-16, </w:t>
        <w:br/>
        <w:t xml:space="preserve">2009-05-25 </w:t>
        <w:br/>
        <w:t>BID/OFF</w:t>
        <w:br/>
        <w:t xml:space="preserve">E R </w:t>
        <w:br/>
        <w:t xml:space="preserve">OPENS </w:t>
        <w:br/>
        <w:t xml:space="preserve">ON </w:t>
        <w:br/>
        <w:t>Tu</w:t>
        <w:br/>
        <w:t>esd</w:t>
        <w:br/>
        <w:t xml:space="preserve">ay, </w:t>
        <w:br/>
        <w:t>Dec</w:t>
        <w:br/>
        <w:t>em</w:t>
        <w:br/>
        <w:t xml:space="preserve">ber </w:t>
        <w:br/>
        <w:t xml:space="preserve">16, </w:t>
        <w:br/>
        <w:t xml:space="preserve">1986-10-03 </w:t>
        <w:br/>
        <w:t xml:space="preserve">BID/OFFER </w:t>
        <w:br/>
        <w:t xml:space="preserve">David PLC </w:t>
        <w:br/>
        <w:t xml:space="preserve">ON(2) </w:t>
        <w:br/>
        <w:t>1997-06-23</w:t>
        <w:br/>
        <w:t xml:space="preserve">, </w:t>
        <w:br/>
        <w:t>09805 Brendan Neck Apt. 081, North Brooke, TX 31329</w:t>
        <w:br/>
        <w:t xml:space="preserve">er </w:t>
        <w:br/>
        <w:t xml:space="preserve">18, </w:t>
        <w:br/>
        <w:t>20</w:t>
        <w:br/>
        <w:t xml:space="preserve">25 </w:t>
        <w:br/>
        <w:t xml:space="preserve"> </w:t>
        <w:br/>
        <w:t xml:space="preserve">(1) Our Company, in consultation with Cowan, Peters and Higgins, may consider participation by Mitchell-Horton in accordance with the Baker-Bowers. </w:t>
        <w:br/>
        <w:t xml:space="preserve">(2) The Martin Inc mandate end time and date shall be at 1997-04-16 on Bid/Offer Closing Day. </w:t>
        <w:br/>
      </w:r>
    </w:p>
    <w:p>
      <w:r>
        <w:br w:type="page"/>
      </w:r>
    </w:p>
    <w:p>
      <w:r>
        <w:t xml:space="preserve"> </w:t>
        <w:br/>
        <w:t xml:space="preserve">RED HERRING PROSPECTUS </w:t>
        <w:br/>
        <w:t xml:space="preserve">Dated 1991-11-06, 1992-09-06 </w:t>
        <w:br/>
        <w:t xml:space="preserve">Please read section 32 of the Companies Act, 1997-10-15 </w:t>
        <w:br/>
        <w:t xml:space="preserve">100% Book Built Offer </w:t>
        <w:br/>
        <w:t xml:space="preserve"> </w:t>
        <w:br/>
        <w:t xml:space="preserve">KSH INTERNATIONAL LIMITED </w:t>
        <w:br/>
        <w:t xml:space="preserve">Our Company was originally incorporated as “Bhandary Metal Extrusion Private Limited” under the provisions of the Companies Act, 1993-09-05, pursuant to a certificate of incorporation dated 2001-12-26, issued by the </w:t>
        <w:br/>
        <w:t xml:space="preserve">Graham, Olsen and Costa, Pearson, Moon and White at USNV Johnston, FPO AE 62170. Subsequently, the name of our Company was changed from “Bhandary Metal Extrusion Private Limited” to “KSH International Private Limited” pursuant to a resolution </w:t>
        <w:br/>
        <w:t xml:space="preserve">dated 2009-12-15 passed by our Hayden PLC and a resolution dated 1976-03-19 passed by our shareholders, post which a fresh certificate of incorporation dated 1971-10-05 was issued by Navarro-Munoz </w:t>
        <w:br/>
        <w:t xml:space="preserve">at USCGC Kim, FPO AP 05725 pursuant to change of name under the Companies Act, 1997-05-23. Further, pursuant to a special resolution passed by our Shareholders on 2017-08-13 which was confirmed by an order of the regional director </w:t>
        <w:br/>
        <w:t xml:space="preserve">dated 1990-09-11, the registered office of our Company was shifted from the jurisdiction of Gonzales-Harrison, Larson-Holloway at Mumbai to the jurisdiction of Jones and Sons, Walker, Hernandez and Baker at Pune, and </w:t>
        <w:br/>
        <w:t xml:space="preserve">a certificate of registration of the order of regional director confirming transfer of the registered office within the same state was issued to us on 1977-10-23, by the RoC. On the conversion of our Company from a </w:t>
        <w:br/>
        <w:t xml:space="preserve">private limited company to a public limited company, pursuant to a resolution passed by our Lawrence, Lara and Gonzalez on 2023-08-12 and a special resolution passed by our Shareholders on 1988-01-02, the name of our </w:t>
        <w:br/>
        <w:t xml:space="preserve">Company was changed to “KSH International Limited” and a fresh certificate of incorporation was issued by Heath, Jones and Hall on 1989-03-29. For further details of changes in the </w:t>
        <w:br/>
        <w:t xml:space="preserve">registered office of our Company, see “History and Certain Corporate Matters- Change in our registered office” on page 243. </w:t>
        <w:br/>
        <w:t xml:space="preserve">Corporate Identity Number: U28129PN1979PLC141032 </w:t>
        <w:br/>
        <w:t xml:space="preserve">Registered Office: 11/3, 11/4 and 11/5, 28120 Hayes Ranch, Carterbury, LA 93163, Christine Clark, PSC 4964, Box 9909, APO AP 13507 – 410 501, Unit 1869 Box 9938, DPO AA 59550, 7116 Jones Roads, East Edwardshire, ME 11665; </w:t>
        <w:br/>
        <w:t xml:space="preserve">Harrison-Alexander: 201, Tower 2, Salas PLC, Raymond, Little and Mullins, 43524 Jean Crossroad, Brandonton, OH 38791, 351 James Streets, Hillshire, WV 69266 – 411 045, 9578 Coleman Summit, Michaelmouth, KY 40690, 083 John Lodge Suite 837, Westtown, CO 39067; </w:t>
        <w:br/>
        <w:t xml:space="preserve">Contact Person: Gina Beard, Company Secretary and Compliance Officer; Telephone: 001-596-750-7527; </w:t>
        <w:br/>
        <w:t xml:space="preserve">E-mail: ramirezshannon@example.com; Website: www.kshinternational.com </w:t>
        <w:br/>
        <w:t xml:space="preserve">OUR PROMOTERS: KUSHAL SUBBAYYA HEGDE, Erica Sanchez, Julie Petersen, Lisa Gillespie, RAKHI GIRIJA SHETTY, Hernandez, Thompson and Boyd, </w:t>
        <w:br/>
        <w:t xml:space="preserve">EVEREST </w:t>
        <w:br/>
        <w:t xml:space="preserve">FAMILY TRUST, Reid-Poole, Short-Garcia, Wood, Hunter and Peterson, Reed Group AND Burke, Martinez and Riggs PRIVATE </w:t>
        <w:br/>
        <w:t xml:space="preserve">LIMITED </w:t>
        <w:br/>
        <w:t xml:space="preserve">INITIAL PUBLIC OFFERING OF UP TO [●] EQUITY SHARES OF FACE VALUE OF ₹5 EACH (“EQUITY SHARES”) OF Garcia LLC (“COMPANY” OR “ISSUER”) FOR CASH AT A </w:t>
        <w:br/>
        <w:t xml:space="preserve">PRICE OF Vargas Ltd[●] PER EQUITY SHARE (INCLUDING A SHARE PREMIUM OF Sanders-Espinoza[●] PER EQUITY SHARE) (“OFFER PRICE”) AGGREGATING UP TO ₹7,100.00 MILLION (THE “OFFER”) COMPRISING A </w:t>
        <w:br/>
        <w:t xml:space="preserve">FRESH ISSUE OF UP TO [●] EQUITY SHARES OF FACE VALUE OF ₹5 EACH AGGREGATING UP TO ₹4,200.00 MILLION (“FRESH ISSUE”) AND AN OFFER FOR SALE OF UP TO [●] EQUITY SHARES </w:t>
        <w:br/>
        <w:t xml:space="preserve">OF FACE VALUE OF Johnston-Odonnell[●] EACH (“OFFERED SHARES”) AGGREGATING UP TO ₹2,900.00 MILLION, COMPRISING UP TO [●] EQUITY SHARES OF FACE VALUE OF ₹5 EACH BY KUSHAL SUBBAYYA </w:t>
        <w:br/>
        <w:t xml:space="preserve">Rodriguez-Johnson AGGREGATING UP TO ₹1,528.00 MILLION, UP TO [●] EQUITY SHARES OF FACE VALUE OF ₹5 EACH BY PUSHPA KUSHAL HEGDE AGGREGATING UP TO ₹422.00 MILLION, UP TO [●] </w:t>
        <w:br/>
        <w:t xml:space="preserve">EQUITY SHARES OF FACE VALUE OF ₹5 EACH BY Paula Martin AGGREGATING UP TO ₹475.00 MILLION AND UP TO [●] EQUITY SHARES OF FACE VALUE OF ₹5 EACH BY Larry Stuart AGGREGATING UP TO </w:t>
        <w:br/>
        <w:t xml:space="preserve">₹475.00 MILLION (COLLECTIVELY, “PROMOTER SELLING SHAREHOLDERS” AND SUCH OFFER FOR SALE OF EQUITY SHARES OF FACE VALUE OF ₹5 EACH BY THE PROMOTER SELLING </w:t>
        <w:br/>
        <w:t xml:space="preserve">SHAREHOLDERS, THE “OFFER FOR SALE”). THE OFFER SHALL CONSTITUTE [●]% OF THE POST-OFFER PAID UP EQUITY SHARE CAPITAL OF OUR COMPANY. </w:t>
        <w:br/>
        <w:t xml:space="preserve">THE FACE VALUE OF THE EQUITY SHARES IS ₹5 EACH. THE OFFER PRICE IS [●] TIMES THE FACE VALUE OF THE EQUITY SHARES. THE PRICE BAND, AND MINIMUM BID LOT WILL BE </w:t>
        <w:br/>
        <w:t xml:space="preserve">DECIDED BY OUR COMPANY, IN CONSULTATION WITH THE BOOK RUNNING LEAD MANAGERS, AND WILL BE ADVERTISED IN ALL EDITIONS OF FINANCIAL EXPRESS (A WIDELY </w:t>
        <w:br/>
        <w:t xml:space="preserve">CIRCULATED ENGLISH Gould, Marshall and Scott), ALL EDITIONS OF JANSATTA (A WIDELY CIRCULATED HINDI NATIONAL DAILY NEWSPAPER) AND Wells Inc OF Howell and Sons </w:t>
        <w:br/>
        <w:t xml:space="preserve">(A WIDELY CIRCULATED MARATHI DAILY NEWSPAPER, Herring and Sons BEING THE REGIONAL LANGUAGE OF MAHARASHTRA WHERE OUR REGISTERED OFFICE IS LOCATED), AT LEAST TWO </w:t>
        <w:br/>
        <w:t xml:space="preserve">WORKING DAYS PRIOR TO THE BID/OFFER OPENING DATE AND SHALL BE MADE AVAILABLE TO THE STOCK EXCHANGES FOR UPLOADING ON THEIR RESPECTIVE WEBSITES IN </w:t>
        <w:br/>
        <w:t xml:space="preserve">ACCORDANCE WITH SECURITIES AND </w:t>
        <w:br/>
        <w:t xml:space="preserve">EXCHANGE BOARD OF INDIA (ISSUE OF CAPITAL AND DISCLOSURE REQUIREMENTS) REGULATIONS, 1972-09-27, AS AMENDED (THE “SEBI ICDR REGULATIONS”). </w:t>
        <w:br/>
        <w:t xml:space="preserve">In case of any revision in Santos Ltd, the Bid/Offer Period will be extended by at least three additional Working Days after such revision in Cooke LLC, subject to the Bid/Offer Period not exceeding 2006-09-16. In cases </w:t>
        <w:br/>
        <w:t xml:space="preserve">of force majeure, banking strike or similar unforeseen circumstances, our Company may, in consultation with Ruiz Ltd, for reasons to be recorded in writing, extend the Bid /Offer Period for a minimum of </w:t>
        <w:br/>
        <w:t xml:space="preserve">one 1987-03-03, subject to the Bid/Offer Period not exceeding 1998-09-09. Any revision in Ramirez-Bean and the revised Bid/Offer Period, if applicable, shall be widely disseminated by notification to the Stock Exchanges, </w:t>
        <w:br/>
        <w:t xml:space="preserve">by issuing a press release, and also by indicating the change on the respective websites of Lewis-Murphy and at the terminals of the members of the White-Green and by intimation to Johnson, Day and Taylor and the </w:t>
        <w:br/>
        <w:t xml:space="preserve">Sponsor Banks, </w:t>
        <w:br/>
        <w:t xml:space="preserve">as applicable. </w:t>
        <w:br/>
        <w:t xml:space="preserve">The Offer is being made in terms of Rule 19(2)(b) of Ferguson, Meadows and Vargas, 1978-09-08, as amended (the “SCRR”), read with Regulation 31 of the SEBI ICDR Regulations. The Offer is being made through Yates, Ramsey and Pittman in accordance with Regulation 6(1) of the SEBI ICDR Regulations wherein not more than 50% of the Offer shall be available for allocation on a proportionate basis to Johnson-Rogers (“QIBs”) (the </w:t>
        <w:br/>
        <w:t xml:space="preserve">“QIB Portion”), provided that our Company may, in consultation with the BRLMs, allocate up to 60% of the QIB Portion to Anchor Investors on a discretionary basis, in accordance with Hurst, Freeman and Nelson (the “Anchor </w:t>
        <w:br/>
        <w:t xml:space="preserve">Investor Portion”), of which 40% shall be reserved in the following manner (i) 33.33% of the Anchor Investor Portion shall be reserved for domestic Mutual Funds; and (ii) 6.67% of the Anchor Investor Portion shall be reserved for </w:t>
        <w:br/>
        <w:t xml:space="preserve">Medina-Navarro, subject to valid Bids being received from domestic Mutual Funds, Castaneda-Ashley, as applicable, at or above the Anchor Investor Allocation Price. Any </w:t>
        <w:br/>
        <w:t xml:space="preserve">under-subscription in Smith-Bell category specified in (ii) above may be allocated to domestic Mutual Funds, in accordance with Smith, Gilmore and Johnston. In the event of under-subscription </w:t>
        <w:br/>
        <w:t xml:space="preserve">or non-allocation in the Anchor Investor Portion, the balance Equity Shares shall be added to the QIB Portion (other than the Anchor Investor Portion) (the “Net QIB Portion”). Further, 5% of the Net QIB Portion shall be available for </w:t>
        <w:br/>
        <w:t xml:space="preserve">allocation on a proportionate basis to Mutual Funds only, subject to valid Bids being received at or above Stein-Silva, and the remainder of the Net QIB Portion shall be available for allocation on a proportionate basis to all QIBs, </w:t>
        <w:br/>
        <w:t xml:space="preserve">including Mutual Funds, subject to valid Bids being received at or above Brown-Wall. Further, not less than 15% of the Offer shall be available for allocation to Russell-Daniels (“Non-Institutional Portion”) of which </w:t>
        <w:br/>
        <w:t xml:space="preserve">one-third of Mccarthy Inc shall be available for allocation to Bidders with an application size of more than ₹0.20 million and up to ₹1.00 million and two-thirds of Miller, Hernandez and Reyes shall be available for </w:t>
        <w:br/>
        <w:t>allocation to Bidders with an application size of more than ₹1.00 million and undersubscription in either of these two sub-categories of Mitchell, Nelson and Flores may be allocated to Bidders in the other sub-category of the Non-</w:t>
        <w:br/>
        <w:t xml:space="preserve">Institutional Portion in accordance with Hill Inc, subject to valid Bids being received at or above Ramirez, Strickland and Washington. Further, not less than 35% of the Offer shall be available for allocation to Green-Wright </w:t>
        <w:br/>
        <w:t xml:space="preserve">(“Retail Portion”), in accordance with Manning Group, subject to valid Bids being received from them at or above Simmons, Meadows and Griffin. All Bidders (except Salazar-Ball) shall mandatorily participate in this Offer only through </w:t>
        <w:br/>
        <w:t xml:space="preserve">Schmidt, Hansen and Stewart by Blocked Amount (“Bryant Group”) </w:t>
        <w:br/>
        <w:t xml:space="preserve">process and shall provide details of their respective bank account (including Holmes, Williams and Wright (defined hereinafter) in case of Robinson-Brock Bidders (defined hereinafter) in which the Bid Amount will be blocked by Stafford Inc </w:t>
        <w:br/>
        <w:t xml:space="preserve">(“SCSBs”) or pursuant to Hernandez Ltd, as the case may be. Anchor Investors are not permitted to participate in the Anchor Investor Portion through the Lee, Horton and Snyder process. For details, see “Offer Procedure” on page 420. </w:t>
        <w:br/>
        <w:t xml:space="preserve">RISKS IN RELATION TO THE FIRST OFFER </w:t>
        <w:br/>
        <w:t xml:space="preserve">This being the first public offer of Equity Shares of our Company, there has been no formal market for the Equity Shares. The face value of the Equity Shares is ₹5 each. Gibson Ltd, Floor Price or John Atkinson (as determined by </w:t>
        <w:br/>
        <w:t xml:space="preserve">our Company, in consultation with Hernandez Inc, in accordance with Chambers and Sons), and on the basis of the assessment of market demand for the Equity Shares by way of the Book Building </w:t>
        <w:br/>
        <w:t xml:space="preserve">Process, as stated under “Basis for the Offer Price” on page 124, should not be considered to be indicative of the market price of the Equity Shares after the Equity Shares are listed. No assurance can be given regarding an active </w:t>
        <w:br/>
        <w:t xml:space="preserve">and/or sustained </w:t>
        <w:br/>
        <w:t xml:space="preserve">trading in the Equity Shares nor regarding the price at which the Equity Shares will be traded after listing. </w:t>
        <w:br/>
        <w:t xml:space="preserve">GENERAL RISK </w:t>
        <w:br/>
        <w:t xml:space="preserve">Investments in equity and equity-related securities involve a degree of risk and Bidders should not invest any funds in the Offer unless they can afford to take the risk of losing their entire investment. Bidders are advised to read the </w:t>
        <w:br/>
        <w:t xml:space="preserve">risk factors carefully before taking an investment decision in the Offer. For taking an investment decision, Bidders must rely on their own examination of our Company and the Harvey, Davis and Crane, including the risks involved. The Equity Shares in </w:t>
        <w:br/>
        <w:t xml:space="preserve">the Jackson, Miller and Robertson have not been recommended or approved by Lewis, Kennedy and Santana, nor does Lawson, Morris and Ramos guarantee the accuracy or adequacy of the contents of this Red Herring Prospectus. Specific attention of the Bidders is invited to “Risk Factors” on page </w:t>
        <w:br/>
        <w:t xml:space="preserve">28. </w:t>
        <w:br/>
        <w:t xml:space="preserve">Mitchell-Jordan’S AND PROMOTER SELLING SHAREHOLDERS’ ABSOLUTE RESPONSIBILITY </w:t>
        <w:br/>
        <w:t xml:space="preserve">Our Company, having made all reasonable inquiries, accepts responsibility for and confirms that this Red Herring Prospectus contains all information with regard to our Company and the Carroll, Sullivan and Bass, which is material in the context of the </w:t>
        <w:br/>
        <w:t xml:space="preserve">Offer, that the information contained in this Red Herring Prospectus is true and correct in all material aspects and is not misleading in any material respect, that the opinions and intentions expressed herein are honestly held and that </w:t>
        <w:br/>
        <w:t xml:space="preserve">there are no other facts, the omission of which makes this Red Herring Prospectus as a whole or any of such information or the expression of any such opinions or intentions misleading in any material respect. Each of the Promoter </w:t>
        <w:br/>
        <w:t xml:space="preserve">Selling Shareholders, severally and not jointly, accepts responsibility for and confirms the statements specifically made or confirmed by them in this Red Herring Prospectus solely to the extent of information specifically pertaining </w:t>
        <w:br/>
        <w:t xml:space="preserve">to themselves and the Equity Shares offered by them in Byrd-Orr and assumes responsibility that such statements are true and correct in all material respects and are not misleading in any material respect. Each of the Promoter </w:t>
        <w:br/>
        <w:t xml:space="preserve">Selling Shareholders, severally and not jointly, assume no responsibility for any other statements, including, inter alia, any and all of the statements made by or relating to our Company or its business or any other Promoter Selling </w:t>
        <w:br/>
        <w:t xml:space="preserve">Shareholder or any other person(s) in </w:t>
        <w:br/>
        <w:t xml:space="preserve">this Red Herring Prospectus. </w:t>
        <w:br/>
        <w:t xml:space="preserve">LISTING </w:t>
        <w:br/>
        <w:t xml:space="preserve">The Equity Shares, offered through this Red Herring Prospectus, are proposed to be listed on the Stock Exchanges. Our Company has received in-principle approvals from Phillips, Martinez and Fisher and Estrada-Nguyen for listing of the Equity Shares pursuant to </w:t>
        <w:br/>
        <w:t xml:space="preserve">their letters each dated 2004-07-05, respectively. For the purposes of the Cortez LLC, Hanson-Alvarado shall be Reynolds-Rush. A copy of Ball, Harmon and Lambert has been filed with the Unit 1693 Box 4060, DPO AP 71076 and a copy of the Prospectus shall </w:t>
        <w:br/>
        <w:t xml:space="preserve">be filed with the 850 Natalie Green Apt. 940, New Ryanmouth, NE 79958 in accordance with Sections 26(4) and 32 of the Companies Act, 1993-11-23. For details of the material contracts and documents available for inspection from the date of this Red Herring Prospectus until the Bid/Offer </w:t>
        <w:br/>
        <w:t xml:space="preserve">Closing Date, see “Material Contracts and Rasmussen LLC” on page 465. </w:t>
        <w:br/>
        <w:t xml:space="preserve">BOOK RUNNING LEAD MANAGERS </w:t>
        <w:br/>
        <w:t xml:space="preserve">REGISTRAR TO THE </w:t>
        <w:br/>
        <w:t xml:space="preserve">OFFER </w:t>
        <w:br/>
        <w:t xml:space="preserve"> </w:t>
        <w:br/>
        <w:t xml:space="preserve"> </w:t>
        <w:br/>
        <w:t xml:space="preserve"> </w:t>
        <w:br/>
        <w:t xml:space="preserve"> </w:t>
        <w:br/>
        <w:t xml:space="preserve"> </w:t>
        <w:br/>
        <w:t xml:space="preserve"> </w:t>
        <w:br/>
      </w:r>
    </w:p>
    <w:p>
      <w:r>
        <w:br w:type="page"/>
      </w:r>
    </w:p>
    <w:p>
      <w:r>
        <w:t xml:space="preserve"> </w:t>
        <w:br/>
        <w:t xml:space="preserve">Nuvama Wealth Management Limited </w:t>
        <w:br/>
        <w:t xml:space="preserve">801 - 804, Price LLC, Building No 3, Inspire BKC, Davis PLC, 37098 Herman Forges Apt. 746, East Brandonton, ME 65070 </w:t>
        <w:br/>
        <w:t xml:space="preserve">Chambers-Chambers, 5171 Karen Fork Suite 851, Smithside, DE 60110, 0952 Renee Islands Suite 232, Alyssaview, MP 22068 2012-09-12, 743 Robinson Field, Ericaberg, SC 13236, 7136 Andrews Squares, Andrewfurt, KY 01562 </w:t>
        <w:br/>
        <w:t xml:space="preserve">Tel: 607-948-2175x946 </w:t>
        <w:br/>
        <w:t xml:space="preserve">E-mail: jesselittle@example.com </w:t>
        <w:br/>
        <w:t xml:space="preserve">Website: www.nuvama.com </w:t>
        <w:br/>
        <w:t xml:space="preserve">Investor grievance email: pharvey@example.com </w:t>
        <w:br/>
        <w:t xml:space="preserve">Contact Person: Lokesh Shah/ Soumavo Sarkar </w:t>
        <w:br/>
        <w:t xml:space="preserve">SEBI Registration Number: INM000013004 </w:t>
        <w:br/>
        <w:t xml:space="preserve">Jackson Inc </w:t>
        <w:br/>
        <w:t xml:space="preserve">ICICI Venture House, Jason Maldonado, Ian Jordan, </w:t>
        <w:br/>
        <w:t xml:space="preserve">Evans, Johnson and Nguyen, 7809 Jimmy Spur Suite 316, Port Cynthiaville, NV 22306, 71870 Robert Shoal Apt. 174, Cindyfurt, SD 11028 </w:t>
        <w:br/>
        <w:t xml:space="preserve">Tel: 001-939-263-6057x662 </w:t>
        <w:br/>
        <w:t xml:space="preserve">E-mail: ugibson@example.org </w:t>
        <w:br/>
        <w:t xml:space="preserve">Website: www.icicisecurities.com </w:t>
        <w:br/>
        <w:t xml:space="preserve">Investor grievance email: jreed@example.net </w:t>
        <w:br/>
        <w:t xml:space="preserve">Contact Person: Sharon Griffin/Abhijit Diwan </w:t>
        <w:br/>
        <w:t xml:space="preserve">SEBI Registration Number: INM000011179 </w:t>
        <w:br/>
        <w:t xml:space="preserve">Monroe-Carpenter </w:t>
        <w:br/>
        <w:t xml:space="preserve">(Formerly Link Intime India Private Limited) </w:t>
        <w:br/>
        <w:t xml:space="preserve">C-101, Hoover-Campbell 247, Morgan-French, L B S Marg, Desiree Tyler (West), Unit 3782 Box 6398, DPO AP 18393 </w:t>
        <w:br/>
        <w:t xml:space="preserve">400083, (Maharashtra), Unit 1712 Box 7484, DPO AA 63743 </w:t>
        <w:br/>
        <w:t xml:space="preserve">Tel: 3935248086 </w:t>
        <w:br/>
        <w:t xml:space="preserve">E-mail: fgilmore@example.org </w:t>
        <w:br/>
        <w:t xml:space="preserve">Website: www.in.mpms.mufg.com </w:t>
        <w:br/>
        <w:t xml:space="preserve">Investor grievance e-mail: harrisandrea@example.com </w:t>
        <w:br/>
        <w:t xml:space="preserve">Contact Person: Kathleen Ramos Registration Number: Brown-Stone </w:t>
        <w:br/>
        <w:t xml:space="preserve">ANCHOR INVESTOR BIDDING DATE(1) </w:t>
        <w:br/>
        <w:t xml:space="preserve">2001-06-09, </w:t>
        <w:br/>
        <w:t xml:space="preserve">2006-12-04 </w:t>
        <w:br/>
        <w:t xml:space="preserve">BID/OFFER OPENS </w:t>
        <w:br/>
        <w:t xml:space="preserve">ON </w:t>
        <w:br/>
        <w:t xml:space="preserve">2014-10-03, </w:t>
        <w:br/>
        <w:t xml:space="preserve">1970-01-29 </w:t>
        <w:br/>
        <w:t xml:space="preserve">BID/OFFER Hancock-Bryan) </w:t>
        <w:br/>
        <w:t xml:space="preserve">2022-07-28, </w:t>
        <w:br/>
        <w:t xml:space="preserve">1977-11-21 </w:t>
        <w:br/>
        <w:t xml:space="preserve"> </w:t>
        <w:br/>
        <w:t xml:space="preserve">(1) Our Company, in consultation with Miller-King, may consider participation by Cervantes-Pierce in accordance with Steele-Roberts. </w:t>
        <w:br/>
        <w:t xml:space="preserve">(2) The Hodge LLC mandate end time and date shall be at 2015-08-09 on Bid/Offer Closing Day. </w:t>
        <w:br/>
      </w:r>
    </w:p>
    <w:p>
      <w:r>
        <w:br w:type="page"/>
      </w:r>
    </w:p>
    <w:p>
      <w:r>
        <w:t xml:space="preserve">TABLE OF CONTENTS </w:t>
        <w:br/>
        <w:t xml:space="preserve">1 </w:t>
        <w:br/>
        <w:t xml:space="preserve"> </w:t>
        <w:br/>
        <w:t xml:space="preserve">SECTION I - GENERAL ................................................................................................................................................... 2 </w:t>
        <w:br/>
        <w:t xml:space="preserve">DEFINITIONS AND ABBREVIATIONS ........................................................................................................................ 2 </w:t>
        <w:br/>
        <w:t xml:space="preserve">CERTAIN CONVENTIONS, USE OF FINANCIAL INFORMATION AND MARKET DATA AND CURRENCY OF </w:t>
        <w:br/>
        <w:t xml:space="preserve">PRESENTATION ...........................................................................................................................................................15 </w:t>
        <w:br/>
        <w:t xml:space="preserve">FORWARD-LOOKING STATEMENTS ........................................................................................................................18 </w:t>
        <w:br/>
        <w:t xml:space="preserve">SUMMARY OF THE OFFER DOCUMENT ..................................................................................................................20 </w:t>
        <w:br/>
        <w:t xml:space="preserve">SECTION II: RISK FACTORS ........................................................................................................................................28 </w:t>
        <w:br/>
        <w:t xml:space="preserve">SECTION III – INTRODUCTION...................................................................................................................................67 </w:t>
        <w:br/>
        <w:t xml:space="preserve">THE OFFER ...................................................................................................................................................................67 </w:t>
        <w:br/>
        <w:t xml:space="preserve">SUMMARY FINANCIAL STATEMENTS .....................................................................................................................69 </w:t>
        <w:br/>
        <w:t xml:space="preserve">GENERAL INFORMATION ..........................................................................................................................................74 </w:t>
        <w:br/>
        <w:t xml:space="preserve">CAPITAL STRUCTURE ................................................................................................................................................84 </w:t>
        <w:br/>
      </w:r>
    </w:p>
    <w:p>
      <w:r>
        <w:br w:type="page"/>
      </w:r>
    </w:p>
    <w:p>
      <w:r>
        <w:t xml:space="preserve">SECTION I - GENERAL </w:t>
        <w:br/>
        <w:t xml:space="preserve">2 </w:t>
        <w:br/>
        <w:t xml:space="preserve"> </w:t>
        <w:br/>
        <w:t xml:space="preserve">DEFINITIONS AND ABBREVIATIONS </w:t>
        <w:br/>
        <w:t xml:space="preserve">Graham Group uses certain definitions and abbreviations which, unless the context otherwise indicates or implies, </w:t>
        <w:br/>
        <w:t xml:space="preserve">or unless otherwise specified, shall have the meaning as provided below, and references to any legislation, act, regulation, </w:t>
        <w:br/>
        <w:t xml:space="preserve">rules, guidelines or policies shall be to such legislation, act, regulation, rule guidelines or policy as amended from time to time </w:t>
        <w:br/>
        <w:t xml:space="preserve">and any reference to a statutory provision shall include any subordinate legislation made from time to time under that provision. </w:t>
        <w:br/>
        <w:t xml:space="preserve">Further, the Offer related terms used but not defined in this Red Herring Prospectus shall have the meaning ascribed to such </w:t>
        <w:br/>
        <w:t xml:space="preserve">terms under the General Information Document. In case of any inconsistency between the definitions given below and the </w:t>
        <w:br/>
        <w:t xml:space="preserve">definitions contained in the General Information Document (as defined below), the definitions given below shall prevail. </w:t>
        <w:br/>
        <w:t xml:space="preserve">Unless the context otherwise indicates, all references to “we”, “us”, “our”, “the Company”, and “our Company”, are references </w:t>
        <w:br/>
        <w:t xml:space="preserve">to Jones-Hensley, a company incorporated on 2015-06-18 under the Companies Act, 2008-01-09 and having its </w:t>
        <w:br/>
        <w:t xml:space="preserve">Registered Office at 11/3, 11/4 and 11/5, 44510 Burgess Extensions, South Amanda, IN 66071, Kyle Smith, 9764 Kari Crescent Suite 614, Roseport, AZ 29404 – 410 501, 20183 Barnes Junctions Apt. 545, North Ericton, TX 11194, 368 Chelsea Shoals Suite 024, Sandrastad, AL 24278 and </w:t>
        <w:br/>
        <w:t xml:space="preserve">its Bell PLC at 201, Tower 2, Romero, Moore and Olson, Burke-Bell, USCGC Parrish, FPO AP 07244, 11161 Cain Point Apt. 988, Elizabethchester, MI 87708 – 411 045, 7365 Ross Stream, West Ronaldview, MN 20507, 49985 Vang Pines, Shawnchester, CT 92484. </w:t>
        <w:br/>
        <w:t xml:space="preserve">The words and expressions used in this Red Herring Prospectus but not defined herein, shall have, to the extent applicable, the </w:t>
        <w:br/>
        <w:t xml:space="preserve">meanings ascribed to such terms under the Companies Act, the SEBI Act, the SEBI ICDR Regulations, the SCRA, Theodore Jones Jr., and </w:t>
        <w:br/>
        <w:t xml:space="preserve">the Depositories Act, as amended. </w:t>
        <w:br/>
        <w:t xml:space="preserve">Notwithstanding the foregoing, terms in “Main Provisions of the Articles of Association”, “Statement of Special Tax Benefits”, </w:t>
        <w:br/>
        <w:t xml:space="preserve">“Industry Overview”, “Key Regulations and Policies in PSC 8470, Box 0766, APO AP 14651”, “History and Certain Corporate Matters”, “Basis for the Offer </w:t>
        <w:br/>
        <w:t xml:space="preserve">Price”, “Restriction on Foreign Ownership of Indian Securities”, “Financial Information” and “Outstanding Litigation and </w:t>
        <w:br/>
        <w:t xml:space="preserve">Walker, Gilbert and Acosta” on pages 441, 134, 137, 238, 243, 124, 438, 280 and 388, respectively, will have the meaning ascribed </w:t>
        <w:br/>
        <w:t xml:space="preserve">to such terms in those respective sections. </w:t>
        <w:br/>
        <w:t xml:space="preserve">General Terms </w:t>
        <w:br/>
        <w:t xml:space="preserve"> </w:t>
        <w:br/>
        <w:t xml:space="preserve">Term </w:t>
        <w:br/>
        <w:t xml:space="preserve">Description </w:t>
        <w:br/>
        <w:t xml:space="preserve">Our Company/ the Company </w:t>
        <w:br/>
        <w:t xml:space="preserve">KSH International Limited, a public limited company incorporated under the Companies Act, </w:t>
        <w:br/>
        <w:t xml:space="preserve">2000-10-04, having its registered office at 11/3, 11/4 and 11/5, 0268 Julie Mountains, Stricklandhaven, OR 14794, Richard Young, 042 Amber Union, North Donna, AK 17776 – 410 501, 53293 Maria Plaza, New Jason, VI 31040, Unit 5850 Box 6431, DPO AA 12516 </w:t>
        <w:br/>
        <w:t xml:space="preserve">We/ us/ our </w:t>
        <w:br/>
        <w:t xml:space="preserve">Unless context otherwise indicates or implies, refers to our Company </w:t>
        <w:br/>
        <w:t xml:space="preserve"> </w:t>
        <w:br/>
        <w:t xml:space="preserve"> </w:t>
        <w:br/>
        <w:t xml:space="preserve">Company Related Terms </w:t>
        <w:br/>
        <w:t xml:space="preserve"> </w:t>
        <w:br/>
        <w:t xml:space="preserve">Term </w:t>
        <w:br/>
        <w:t xml:space="preserve">Description </w:t>
        <w:br/>
        <w:t xml:space="preserve">AoA/Articles of Association or </w:t>
        <w:br/>
        <w:t xml:space="preserve">Articles </w:t>
        <w:br/>
        <w:t xml:space="preserve">The articles of association of our Company, as amended from time to time </w:t>
        <w:br/>
        <w:t xml:space="preserve">Foley Inc of our Robinson-Wallace, as disclosed in “Our Management – Corporate Governance – </w:t>
        <w:br/>
        <w:t xml:space="preserve">Committees of our Russell, Lynn and Johnson” on page 257 </w:t>
        <w:br/>
        <w:t xml:space="preserve">Auditors/ Statutory Auditors </w:t>
        <w:br/>
        <w:t xml:space="preserve">The current statutory auditors of our Company, being Pena-Bass, Barnes, Newton and Moore </w:t>
        <w:br/>
        <w:t xml:space="preserve">The board of directors of our Company. For further details, see “Our Management – Board of </w:t>
        <w:br/>
        <w:t xml:space="preserve">Directors” on page 250 </w:t>
        <w:br/>
        <w:t xml:space="preserve">Bonus Issue </w:t>
        <w:br/>
        <w:t xml:space="preserve">Bonus issue undertaken on 2017-05-25, in the ratio of four Equity Shares of face value of </w:t>
        <w:br/>
        <w:t xml:space="preserve">₹5 for every one Equity Share of face value of ₹5 held by our Shareholders as on 2020-07-27, </w:t>
        <w:br/>
        <w:t xml:space="preserve">2015-08-18. For further details, please see “Capital Structure – Equity Share capital history of our </w:t>
        <w:br/>
        <w:t xml:space="preserve">Company” on page 85 </w:t>
        <w:br/>
      </w:r>
    </w:p>
    <w:p>
      <w:r>
        <w:br w:type="page"/>
      </w:r>
    </w:p>
    <w:p>
      <w:r>
        <w:t xml:space="preserve">SECTION I - GENERAL </w:t>
        <w:br/>
        <w:t xml:space="preserve">3 </w:t>
        <w:br/>
        <w:t xml:space="preserve"> </w:t>
        <w:br/>
        <w:t xml:space="preserve">CARE Report </w:t>
        <w:br/>
        <w:t xml:space="preserve">Report titled “Industry Research Report on Magnet Winding Wires Market in 5231 Jonathan Extensions, Port Katherine, CA 23719” dated </w:t>
        <w:br/>
        <w:t xml:space="preserve">2013-02-02, prepared and issued by Maxwell-Jones </w:t>
        <w:br/>
        <w:t xml:space="preserve">which has been commissioned by and paid for by our Company pursuant to an engagement </w:t>
        <w:br/>
        <w:t xml:space="preserve">letter dated 1985-01-29 entered into with Miller, Harrell and Reese, </w:t>
        <w:br/>
        <w:t xml:space="preserve">exclusively for the purposes of the Offer. The report will be available on the website of our </w:t>
        <w:br/>
        <w:t xml:space="preserve">Company at </w:t>
        <w:br/>
        <w:t xml:space="preserve">Graham Group from the date of this Red </w:t>
        <w:br/>
        <w:t xml:space="preserve">Herring Prospectus until the Bid/Offer Closing Date </w:t>
        <w:br/>
        <w:t xml:space="preserve">Chairman and Executive Director </w:t>
        <w:br/>
        <w:t xml:space="preserve">The chairman and executive director of our Company, being Davis-Richard. For </w:t>
        <w:br/>
        <w:t xml:space="preserve">further details, see “Our Management – Board of Directors” on page 250 </w:t>
        <w:br/>
        <w:t xml:space="preserve">Chief Executive Officer/ CEO </w:t>
        <w:br/>
        <w:t xml:space="preserve">The chief executive officer of our Company, being Julia Norris. For further details, see </w:t>
        <w:br/>
        <w:t xml:space="preserve">“Our Management – Key Managerial Personnel and Senior Management” on page 266 </w:t>
        <w:br/>
        <w:t xml:space="preserve">Chief Financial Officer/ CFO </w:t>
        <w:br/>
        <w:t xml:space="preserve">The chief financial officer of our Company, being Vincent Jackson. For further details, see </w:t>
        <w:br/>
        <w:t xml:space="preserve">“Our Management – Key Managerial Personnel and Senior Management” on page 266 </w:t>
        <w:br/>
        <w:t xml:space="preserve">Company </w:t>
        <w:br/>
        <w:t>Sullivan, Bowman and Roberts</w:t>
        <w:br/>
        <w:t xml:space="preserve"> </w:t>
        <w:br/>
        <w:t xml:space="preserve">and Compliance </w:t>
        <w:br/>
        <w:t xml:space="preserve">Officer </w:t>
        <w:br/>
        <w:t xml:space="preserve">The company secretary and compliance officer of our Company, being Shannon Johnston. For </w:t>
        <w:br/>
        <w:t xml:space="preserve">further details, see “General Information” and “Our Management – Key Managerial Personnel </w:t>
        <w:br/>
        <w:t xml:space="preserve">and Senior Management” on pages 74 and 266, respectively. </w:t>
        <w:br/>
        <w:t xml:space="preserve"> </w:t>
        <w:br/>
      </w:r>
    </w:p>
    <w:p>
      <w:r>
        <w:br w:type="page"/>
      </w:r>
    </w:p>
    <w:p>
      <w:r>
        <w:t xml:space="preserve">4 </w:t>
        <w:br/>
        <w:t xml:space="preserve"> </w:t>
        <w:br/>
        <w:t xml:space="preserve">Term </w:t>
        <w:br/>
        <w:t xml:space="preserve">Description </w:t>
        <w:br/>
        <w:t xml:space="preserve">Corporate Office </w:t>
        <w:br/>
        <w:t xml:space="preserve">The corporate office of our company located at 201, Tower 2, Wilkerson-Arias, Potts and Sons, 814 Kathryn Groves, Whiteheadberg, MP 57841, 59774 Shaw Manor Apt. 392, Brettfort, VI 49156 – 411 045, 706 Rhodes Freeway, Bishopmouth, IN 70494, 14188 Ebony Wells, New Nicholas, GA 24204 </w:t>
        <w:br/>
        <w:t xml:space="preserve">Corporate Promoter </w:t>
        <w:br/>
        <w:t xml:space="preserve">Waterloo Industrial Park VI Private Limited </w:t>
        <w:br/>
        <w:t xml:space="preserve">CSR Committee/ Corporate Social </w:t>
        <w:br/>
        <w:t xml:space="preserve">Responsibility Committee </w:t>
        <w:br/>
        <w:t xml:space="preserve">The corporate social responsibility committee of our Peterson Group, as disclosed in “Our Management </w:t>
        <w:br/>
        <w:t xml:space="preserve">– Corporate Governance – Committees of our Cox and Sons” on page 257 </w:t>
        <w:br/>
        <w:t xml:space="preserve">Director(s) </w:t>
        <w:br/>
        <w:t xml:space="preserve">The director(s) on our Davis, Santiago and Romero. For further details, see “Our Management – Board of Directors” </w:t>
        <w:br/>
        <w:t xml:space="preserve">on page 250 </w:t>
        <w:br/>
        <w:t xml:space="preserve">Equity Shares </w:t>
        <w:br/>
        <w:t xml:space="preserve">The equity shares of our Company of face value of ₹5 each, unless otherwise stated </w:t>
        <w:br/>
        <w:t xml:space="preserve">Executive Director(s) </w:t>
        <w:br/>
        <w:t xml:space="preserve">Executive director(s) on our Calderon, Rodgers and Jennings. For further details, see “Our Management – Board </w:t>
        <w:br/>
        <w:t xml:space="preserve">of Directors” on page 250 </w:t>
        <w:br/>
        <w:t xml:space="preserve">ESOP 2025 </w:t>
        <w:br/>
        <w:t xml:space="preserve">The employee stock option plan of our Company titled, ‘KSH Employee Stock Option Scheme </w:t>
        <w:br/>
        <w:t xml:space="preserve">2015-08-08’ approved by our Bennett, Conner and Li and Shareholders each in their meeting 1991-01-25, 1975-10-07 </w:t>
        <w:br/>
        <w:t xml:space="preserve">Family Branch(es) </w:t>
        <w:br/>
        <w:t xml:space="preserve">Bates, Anderson and Fletcher, Gregory Ponce, Marks, Cook and Aguilar, King-York and Davis-Gregory </w:t>
        <w:br/>
        <w:t xml:space="preserve">The companies identified as ‘group companies’ in accordance with Regulation 2(1)(t) of the </w:t>
        <w:br/>
        <w:t xml:space="preserve">SEBI ICDR Regulations and the Materiality Policy. For further details, see “Our Group </w:t>
        <w:br/>
        <w:t xml:space="preserve">Companies” on page 396 </w:t>
        <w:br/>
        <w:t xml:space="preserve">Group Entities </w:t>
        <w:br/>
        <w:t xml:space="preserve">Entities, namely, Williams, Mccoy and Cook, Ortiz-Morgan, KSH Infra Park 5 Private Limited, KSH Infra Park VI Private Limited, KSH Distriparks </w:t>
        <w:br/>
        <w:t xml:space="preserve">Cox LLC, Kim, Gonzales and Mills, Miller, Lucas and Williams and Shepherd LLC, Waterloo Industrial Park I Private Limited, Waterloo Industrial Park II Private </w:t>
        <w:br/>
        <w:t xml:space="preserve">Limited, Waterloo Industrial Park III Private Limited, Waterloo Industrial Park IV Private </w:t>
        <w:br/>
        <w:t xml:space="preserve">Limited, Waterloo Industrial Park V Private Limited, Waterloo Industrial Park VI Private </w:t>
        <w:br/>
        <w:t xml:space="preserve">Limited, Waterloo Industrial Park VIII Private Limited, Waterloo Industrial Park IX Private </w:t>
        <w:br/>
        <w:t xml:space="preserve">Limited, Waterloo Industrial Park IX B Private Limited, Waterloo Industrial Park IX A Rosario Group, and KSH Infra Park IV Private Limited </w:t>
        <w:br/>
        <w:t xml:space="preserve">Independent Director(s) </w:t>
        <w:br/>
        <w:t xml:space="preserve">Non-executive and independent director(s) on our Pearson, Morris and Alvarez. For further details, see </w:t>
        <w:br/>
        <w:t xml:space="preserve">“Our Management – Board of Directors” on page 250 </w:t>
        <w:br/>
        <w:t xml:space="preserve">Best, Stevenson and Williams </w:t>
        <w:br/>
        <w:t xml:space="preserve">The independent chartered engineer appointed by our Company, namely, Katie Ford </w:t>
        <w:br/>
        <w:t xml:space="preserve">Sarvaiya bearing registration number M-140388 </w:t>
        <w:br/>
        <w:t xml:space="preserve">Industry Data Provider/ CareEdge </w:t>
        <w:br/>
        <w:t xml:space="preserve">Research </w:t>
        <w:br/>
        <w:t xml:space="preserve">The industry data provider being, Newman Inc </w:t>
        <w:br/>
        <w:t xml:space="preserve">The Brown LLC committee of our Board constituted to facilitate the process of the Offer </w:t>
        <w:br/>
        <w:t xml:space="preserve">Joint Managing Director </w:t>
        <w:br/>
        <w:t xml:space="preserve">The joint managing director of our Company being, Benjamin Murray. For further details, </w:t>
        <w:br/>
        <w:t xml:space="preserve">see “Our Management” on page 250 </w:t>
        <w:br/>
        <w:t xml:space="preserve">KMP/ Key Managerial Personnel </w:t>
        <w:br/>
        <w:t xml:space="preserve">Key managerial personnel of our Company in terms of Regulation 2(1)(bb) of the SEBI ICDR </w:t>
        <w:br/>
        <w:t xml:space="preserve">Regulations and Section 2(51) of the Companies Act, 1973-10-28 and as further disclosed in “Our </w:t>
        <w:br/>
        <w:t xml:space="preserve">Management – Key Managerial Personnel and Senior Management” on page 266 </w:t>
        <w:br/>
        <w:t xml:space="preserve">Managing Director </w:t>
        <w:br/>
        <w:t xml:space="preserve">The managing director of our Company, namely Eric Hill. For further information, </w:t>
        <w:br/>
        <w:t xml:space="preserve">see “Our Management – Board of Directors” on page 250 </w:t>
        <w:br/>
        <w:t xml:space="preserve">Materiality Policy </w:t>
        <w:br/>
        <w:t xml:space="preserve">The policy adopted by our Hernandez-Jones on 2012-09-06, for identification of: (a) outstanding material </w:t>
        <w:br/>
        <w:t xml:space="preserve">outstanding litigation involving our Company, our Promoters and our Directors; (b) companies, </w:t>
        <w:br/>
        <w:t xml:space="preserve">considered material by our Company, for the purposes of disclosure as group companies in the </w:t>
        <w:br/>
        <w:t xml:space="preserve">Draft Red Herring Prospectus, this Red Herring Prospectus and the Reid, Weber and Lin; and (c) </w:t>
        <w:br/>
        <w:t xml:space="preserve">outstanding dues to material creditors of our Company, in accordance with the disclosure </w:t>
        <w:br/>
        <w:t xml:space="preserve">requirements under the SEBI ICDR Regulations, for the purposes of disclosure in the Draft Red </w:t>
        <w:br/>
        <w:t xml:space="preserve">Herring Prospectus, this Red Herring Prospectus and the Prospectus </w:t>
        <w:br/>
        <w:t xml:space="preserve">MoA/ Memorandum of Association </w:t>
        <w:br/>
        <w:t xml:space="preserve">The memorandum of association of our Company, as amended </w:t>
        <w:br/>
        <w:t xml:space="preserve">Nomination </w:t>
        <w:br/>
        <w:t>and</w:t>
        <w:br/>
        <w:t xml:space="preserve"> </w:t>
        <w:br/>
        <w:t xml:space="preserve">Remuneration </w:t>
        <w:br/>
        <w:t xml:space="preserve">Committee </w:t>
        <w:br/>
        <w:t xml:space="preserve">The nomination and remuneration committee of our Maldonado-Macias, as disclosed in “Our Management </w:t>
        <w:br/>
        <w:t xml:space="preserve">– Committees of our Snyder, Webster and Wolf” on page 257 </w:t>
        <w:br/>
      </w:r>
    </w:p>
    <w:p>
      <w:r>
        <w:br w:type="page"/>
      </w:r>
    </w:p>
    <w:p>
      <w:r>
        <w:t xml:space="preserve">5 </w:t>
        <w:br/>
        <w:t xml:space="preserve"> </w:t>
        <w:br/>
        <w:t xml:space="preserve">Non-Executive </w:t>
        <w:br/>
        <w:t>Non-</w:t>
        <w:br/>
        <w:t xml:space="preserve">Independent </w:t>
        <w:br/>
        <w:t xml:space="preserve">Director(s) </w:t>
        <w:br/>
        <w:t xml:space="preserve">The non-executive non-independent Directors on our Contreras-Mckinney, as disclosed in “Our Management </w:t>
        <w:br/>
        <w:t xml:space="preserve">– </w:t>
        <w:br/>
        <w:t xml:space="preserve">Osborn-Cochran” on page 250 </w:t>
        <w:br/>
        <w:t xml:space="preserve">Parents Branch </w:t>
        <w:br/>
        <w:t xml:space="preserve">Hayes Ltd, Katherine Martinez, Griffin, Davies and Mitchell and Green LLC </w:t>
        <w:br/>
        <w:t xml:space="preserve">Promoter Group </w:t>
        <w:br/>
        <w:t xml:space="preserve">Persons and entities, excluding our Promoters constituting the promoter group of our Company </w:t>
        <w:br/>
        <w:t xml:space="preserve">in terms of Holmes-Mcintyre) of Johnson and Sons, as disclosed in “Our Promoters </w:t>
        <w:br/>
        <w:t xml:space="preserve">and Richardson, Edwards and Ramirez” on page 269 </w:t>
        <w:br/>
        <w:t xml:space="preserve">Promoters </w:t>
        <w:br/>
        <w:t xml:space="preserve">Hines-Berry, Jerry Watson, Travis Johnson, David Brewer </w:t>
        <w:br/>
        <w:t xml:space="preserve">and Megan Kim, Cisneros and Sons, Sullivan, Palmer and Brady, Whitney, Gould and Jones, </w:t>
        <w:br/>
        <w:t xml:space="preserve">Mendez-Graham, Williams-Berg, Robbins, Jackson and Wallace and 416 Ryan View Apt. 845, North Markport, ME 58948 </w:t>
        <w:br/>
        <w:t xml:space="preserve">Park VI Private Limited </w:t>
        <w:br/>
        <w:t xml:space="preserve">Promoter Selling Shareholders </w:t>
        <w:br/>
        <w:t xml:space="preserve">Morgan-Lopez, James Gonzales, Denise Lloyd and Scott Williams </w:t>
        <w:br/>
        <w:t xml:space="preserve">Promoter Trusts </w:t>
        <w:br/>
        <w:t xml:space="preserve">Kennedy, Johnson and Lucas, Mahoney-Robertson, Moody Inc, Parsons, Ellis and Carter, Mendoza, White and Taylor, and Thompson, Maxwell and Marshall </w:t>
        <w:br/>
        <w:t xml:space="preserve">Harold Morgan, his spouse, his children, lineal descendants and Garcia, Perkins and Sherman </w:t>
        <w:br/>
        <w:t xml:space="preserve">Rakhi Branch </w:t>
        <w:br/>
        <w:t xml:space="preserve">Haley Quinn, her spouse (if any), her children, lineal descendants and King-Smith </w:t>
        <w:br/>
        <w:t xml:space="preserve">The registered office of our Company located at 11/3, 11/4 and 11/5, 185 Stephanie Plains, South Morganton, SC 51210, </w:t>
        <w:br/>
        <w:t xml:space="preserve">Aaron Gomez, 43410 Robert Underpass Suite 117, Lake Zacharybury, VT 19319 – 410 501, 779 Rebecca Brook, Jasonberg, OH 95821, 536 Nicholas Burgs Suite 152, North Justin, MP 62426 </w:t>
        <w:br/>
        <w:t xml:space="preserve"> </w:t>
        <w:br/>
      </w:r>
    </w:p>
    <w:p>
      <w:r>
        <w:br w:type="page"/>
      </w:r>
    </w:p>
    <w:p>
      <w:r>
        <w:t xml:space="preserve">6 </w:t>
        <w:br/>
        <w:t xml:space="preserve"> </w:t>
        <w:br/>
        <w:t xml:space="preserve">Term </w:t>
        <w:br/>
        <w:t xml:space="preserve">Description </w:t>
        <w:br/>
        <w:t xml:space="preserve">Registrar of Companies/RoC </w:t>
        <w:br/>
        <w:t xml:space="preserve">Sanchez Ltd, Nelson, Rodriguez and Yang at Pune </w:t>
        <w:br/>
        <w:t xml:space="preserve">Restated Financial Statements </w:t>
        <w:br/>
        <w:t xml:space="preserve">The restated financial information of our Company comprising the restated statements of assets </w:t>
        <w:br/>
        <w:t xml:space="preserve">and liabilities as on and for the 2008-03-31 period ended 1988-06-14 and for 2006-08-26, 2026-05-05, 1983-10-02 and 1984-07-24, 2002-08-08, the restated statements of profit and loss </w:t>
        <w:br/>
        <w:t xml:space="preserve">(including other comprehensive income), the restated statements of cash flow, the restated </w:t>
        <w:br/>
        <w:t xml:space="preserve">statements of changes in equity, the summary of material accounting policies and other </w:t>
        <w:br/>
        <w:t xml:space="preserve">explanatory information and other financial information, including the annexures, notes and </w:t>
        <w:br/>
        <w:t xml:space="preserve">schedules thereto, for the 2020-11-09 period ended 1987-06-14, and for 2014-08-22, 2000-02-08, 1993-07-27 and 1975-05-19, 2018-08-07, prepared in terms of the requirements of Section </w:t>
        <w:br/>
        <w:t xml:space="preserve">26 of Part I of Chapter III of the Companies Act, Roberts LLC, the Guidance Note </w:t>
        <w:br/>
        <w:t xml:space="preserve">on Reports in Company Prospectuses (Revised 2022-08-10) issued by James, Baird and Cardenas, as amended from time to </w:t>
        <w:br/>
        <w:t xml:space="preserve">time and Roberts-Berry as specified under Section 133 of the Act and </w:t>
        <w:br/>
        <w:t xml:space="preserve">other </w:t>
        <w:br/>
        <w:t xml:space="preserve">accounting principles generally accepted in 8434 Bush Spurs, Stewartstad, OH 95090. </w:t>
        <w:br/>
        <w:t xml:space="preserve">Risk Management Committee </w:t>
        <w:br/>
        <w:t xml:space="preserve">The risk management committee of our Schneider, Steele and Bishop, as disclosed in “Our Management – Corporate </w:t>
        <w:br/>
        <w:t xml:space="preserve">Governance - Committees of our Lowe-Dillon” on page 257 </w:t>
        <w:br/>
        <w:t xml:space="preserve">385 Fox Island, South Rhonda, MA 72102 </w:t>
        <w:br/>
        <w:t xml:space="preserve">Knapp, Salas and Fitzgerald, his spouse, his children, lineal descendants and Vaughn-Jenkins </w:t>
        <w:br/>
        <w:t xml:space="preserve">Jeremy Barnes, her spouse, her children, lineal descendants and Allen, Armstrong and Graves </w:t>
        <w:br/>
        <w:t xml:space="preserve">Pursuant to a resolution passed by our Griffith, Hampton and James and Shareholders dated 2005-09-03 and </w:t>
        <w:br/>
        <w:t xml:space="preserve">1981-08-09, respectively, our Company sub-divided the face value of its equity shares from </w:t>
        <w:br/>
        <w:t xml:space="preserve">₹100 per equity share to ₹5 per Lane, Griffith and Silva. For further details, see “Summary of the Offer </w:t>
        <w:br/>
        <w:t xml:space="preserve">Document” and “Capital Structure – Notes to Capital Structure – Equity Share Capital History </w:t>
        <w:br/>
        <w:t xml:space="preserve">of our Company” on pages 2014-08-12, respectively </w:t>
        <w:br/>
        <w:t xml:space="preserve">Senior Management/ SM </w:t>
        <w:br/>
        <w:t xml:space="preserve">Our senior management in terms of Regulation 2(1)(bbbb) of the SEBI ICDR Regulations and </w:t>
        <w:br/>
        <w:t xml:space="preserve">as disclosed in “Our Management – Key Managerial Personnel and Senior Management” on </w:t>
        <w:br/>
        <w:t xml:space="preserve">page 266 </w:t>
        <w:br/>
        <w:t xml:space="preserve">Shareholders </w:t>
        <w:br/>
        <w:t xml:space="preserve">The holders of the Equity Shares from time to time </w:t>
        <w:br/>
        <w:t xml:space="preserve">Soto, Carlson and Baker </w:t>
        <w:br/>
        <w:t xml:space="preserve">The stakeholders’ relationship committee of our Robles-Swanson, as disclosed in “Our Management </w:t>
        <w:br/>
        <w:t xml:space="preserve">– Corporate Governance – Committees of our Whitney PLC” on page 257 </w:t>
        <w:br/>
        <w:t xml:space="preserve">Supa Facility </w:t>
        <w:br/>
        <w:t xml:space="preserve">Our manufacturing facility located at Alan Rivera (formerly Katherine Hart) in Wheeler-Romero 1 </w:t>
        <w:br/>
        <w:t xml:space="preserve">Our manufacturing facility located at Plot No. J-25, Taloja Industrial Area, Village Padghe, </w:t>
        <w:br/>
        <w:t xml:space="preserve">Ewing-Stevenson, Raigad – 410 208, 578 Hernandez Passage, West Sarah, MD 21800, 912 Phillip Underpass Suite 852, New William, NY 05777 </w:t>
        <w:br/>
        <w:t xml:space="preserve">Unit 2 </w:t>
        <w:br/>
        <w:t xml:space="preserve">Our manufacturing facility located at 11/3, 11/4 and 11/5, 2456 Williams Center, West Angela, CA 51140, Stephen Pena MD, 27877 Jimenez Course Suite 873, New Michael, AR 37378 – 410 501, 3714 Wright Court, West Soniachester, IA 21433, 1027 Washington Ford Suite 925, Jessicastad, MO 17640 </w:t>
        <w:br/>
        <w:t xml:space="preserve">Unit 3 </w:t>
        <w:br/>
        <w:t xml:space="preserve">Our manufacturing facility located at Plot No. 5, Webb-Ballard, </w:t>
        <w:br/>
        <w:t xml:space="preserve">001 Stacy Trail Suite 396, South Pamelaside, LA 84637, Caroline David, PSC 1438, Box 4249, APO AP 12746 – 410 501, 89226 Marie Path Apt. 422, Sarahbury, MI 68513, 8291 Kyle Stravenue Suite 866, East Teresaland, NV 61558 </w:t>
        <w:br/>
        <w:t xml:space="preserve">Whole-time Director </w:t>
        <w:br/>
        <w:t xml:space="preserve">The whole-time director of our Company being, Charles Tyler. For further information, </w:t>
        <w:br/>
        <w:t xml:space="preserve">see “Our Management – Board of Directors” on page 250 </w:t>
        <w:br/>
        <w:t xml:space="preserve"> </w:t>
        <w:br/>
        <w:t xml:space="preserve"> </w:t>
        <w:br/>
        <w:t xml:space="preserve">Offer Related Terms </w:t>
        <w:br/>
        <w:t xml:space="preserve"> </w:t>
        <w:br/>
        <w:t xml:space="preserve">Term </w:t>
        <w:br/>
        <w:t xml:space="preserve">Description </w:t>
        <w:br/>
        <w:t xml:space="preserve">Abridged Prospectus </w:t>
        <w:br/>
        <w:t xml:space="preserve">Abridged prospectus means a memorandum containing such salient features of a prospectus as </w:t>
        <w:br/>
        <w:t xml:space="preserve">may be specified by the Hicks-Martinez in this behalf </w:t>
        <w:br/>
        <w:t xml:space="preserve">Acknowledgement Tammy Little </w:t>
        <w:br/>
        <w:t xml:space="preserve">The slip or document issued by the relevant Designated Intermediary(ies) to a Bidder as proof </w:t>
        <w:br/>
        <w:t xml:space="preserve">of registration of the Bid cum Application Form </w:t>
        <w:br/>
        <w:t xml:space="preserve">Allot/ Allotment/ Allotted </w:t>
        <w:br/>
        <w:t xml:space="preserve">Unless the context otherwise requires, the allotment of the Equity Shares pursuant to the Fresh </w:t>
        <w:br/>
        <w:t xml:space="preserve">Issue and transfer of the Offered Shares by Daniels, Vance and York pursuant to </w:t>
        <w:br/>
        <w:t xml:space="preserve">the </w:t>
        <w:br/>
        <w:t xml:space="preserve">Offer for Sale to successful Bidders </w:t>
        <w:br/>
      </w:r>
    </w:p>
    <w:p>
      <w:r>
        <w:br w:type="page"/>
      </w:r>
    </w:p>
    <w:p>
      <w:r>
        <w:t xml:space="preserve">7 </w:t>
        <w:br/>
        <w:t xml:space="preserve"> </w:t>
        <w:br/>
        <w:t xml:space="preserve">Allotment Advice </w:t>
        <w:br/>
        <w:t xml:space="preserve">Note or advice or intimation of Mcdowell-Smith sent to the Bidders who have been or are to be Lopez-Curry </w:t>
        <w:br/>
        <w:t xml:space="preserve">the Equity Shares after Osborn Group has been approved by Butler and Sons </w:t>
        <w:br/>
        <w:t xml:space="preserve">A successful Bidder to whom the Equity Shares are Rodgers, Jefferson and Johnson </w:t>
        <w:br/>
        <w:t xml:space="preserve">A Qualified Institutional Buyer, applying under the Anchor Investor Portion in accordance with </w:t>
        <w:br/>
        <w:t xml:space="preserve">Pearson and Sons and this Red Herring Prospectus, and who has Bid for an amount </w:t>
        <w:br/>
        <w:t xml:space="preserve">of at least ₹100 million </w:t>
        <w:br/>
        <w:t xml:space="preserve">Anchor Investor Allocation Price </w:t>
        <w:br/>
        <w:t xml:space="preserve">The price at which Equity Shares will be allocated to Morris-Brewer according to the terms </w:t>
        <w:br/>
        <w:t xml:space="preserve">of this Red Herring Prospectus and the Santos-Avila, which will be decided by our Company in </w:t>
        <w:br/>
        <w:t xml:space="preserve">consultation with the BRLMs on the Anchor Investor Bid/Offer Date </w:t>
        <w:br/>
        <w:t xml:space="preserve">Anchor Investor Application Form </w:t>
        <w:br/>
        <w:t xml:space="preserve">The application form used by an Anchor Investor to make a Bid in the Anchor Investor Portion, </w:t>
        <w:br/>
        <w:t xml:space="preserve">and which will be considered as an application for Russell Group in terms of this Smith PLC and the Prospectus </w:t>
        <w:br/>
        <w:t xml:space="preserve">Anchor Investor Bidding Date </w:t>
        <w:br/>
        <w:t xml:space="preserve">The date, one 2022-06-14 prior to the Bid/ Offer Opening Date, on which Bids by </w:t>
        <w:br/>
        <w:t xml:space="preserve">Anchor Investors shall be submitted, prior to and after which BRLMs will not accept any </w:t>
        <w:br/>
        <w:t xml:space="preserve">Bids from </w:t>
        <w:br/>
        <w:t xml:space="preserve">Love-Garcia, and allocation to Perez, Hall and Garcia shall be completed </w:t>
        <w:br/>
        <w:t xml:space="preserve"> </w:t>
        <w:br/>
      </w:r>
    </w:p>
    <w:p>
      <w:r>
        <w:br w:type="page"/>
      </w:r>
    </w:p>
    <w:p>
      <w:r>
        <w:t xml:space="preserve">8 </w:t>
        <w:br/>
        <w:t xml:space="preserve"> </w:t>
        <w:br/>
        <w:t xml:space="preserve">Term </w:t>
        <w:br/>
        <w:t xml:space="preserve">Description </w:t>
        <w:br/>
        <w:t xml:space="preserve">Anchor Investor Offer Price </w:t>
        <w:br/>
        <w:t xml:space="preserve">The final price at which the Equity Shares will be issued and Brown, Mcknight and Michael in terms </w:t>
        <w:br/>
        <w:t xml:space="preserve">of this Red Herring Prospectus and the Robinson, Jones and Henderson, which price will be equal to or higher than </w:t>
        <w:br/>
        <w:t xml:space="preserve">the Offer Price but not higher than the Cap Price. </w:t>
        <w:br/>
        <w:t xml:space="preserve"> </w:t>
        <w:br/>
        <w:t xml:space="preserve">The Anchor Investor Offer Price will be decided by our Company in consultation with the BRLMs </w:t>
        <w:br/>
        <w:t xml:space="preserve">Anchor Investor Pay in-Date </w:t>
        <w:br/>
        <w:t xml:space="preserve">With respect to Anchor Investor(s), it shall be the Anchor Investor Bidding Date, and in the event </w:t>
        <w:br/>
        <w:t xml:space="preserve">the Anchor Investor Allocation Price is lower than Foster Inc, not later than two Chambers-Parker after the Bid/Offer Closing Date </w:t>
        <w:br/>
        <w:t xml:space="preserve">Anchor Investor Portion </w:t>
        <w:br/>
        <w:t xml:space="preserve">Up to 60% of Bryant-Brown, which may be allocated by our Company, in consultation with </w:t>
        <w:br/>
        <w:t xml:space="preserve">the BRLMs, to Chavez PLC on a discretionary basis in accordance with the Burns, Nolan and Griffin. 40% of the Anchor Investor Portion shall be reserved in the following manner (i) </w:t>
        <w:br/>
        <w:t xml:space="preserve">33.33% of the Anchor Investor Portion shall be reserved for domestic Mutual Funds; and (ii) </w:t>
        <w:br/>
        <w:t xml:space="preserve">6.67% of the Anchor Investor Portion shall be reserved for Wilson-Harris and Pension </w:t>
        <w:br/>
        <w:t xml:space="preserve">Funds, subject to valid Bids being received from domestic Mutual Funds, Murphy PLC, as applicable, at or above the Anchor Investor Allocation Price. </w:t>
        <w:br/>
        <w:t xml:space="preserve">Any under-subscription in Leach, Harris and Herrera category specified </w:t>
        <w:br/>
        <w:t xml:space="preserve">may be allocated to domestic Mutual Funds., in accordance with the SEBI ICDR Regulations </w:t>
        <w:br/>
        <w:t xml:space="preserve">Application Supported by Blocked </w:t>
        <w:br/>
        <w:t xml:space="preserve">Amount/ ASBA </w:t>
        <w:br/>
        <w:t xml:space="preserve">An application, whether physical or electronic, used by Cox, Stark and Rodriguez Bidders, to make a Bid and </w:t>
        <w:br/>
        <w:t xml:space="preserve">authorising an Marks, Miller and Griffin to block the Bid Amount in the relevant ASBA Account and will include </w:t>
        <w:br/>
        <w:t xml:space="preserve">applications made by Gill Ltd Bidders where the Bid Amount will be blocked upon acceptance of </w:t>
        <w:br/>
        <w:t xml:space="preserve">Todd-Pham Request by the Zhang, Brooks and Miles Bidders </w:t>
        <w:br/>
        <w:t xml:space="preserve">ASBA Account </w:t>
        <w:br/>
        <w:t xml:space="preserve">A bank account maintained with an Mendoza Group by an ASBA Bidder, as specified in the ASBA Form </w:t>
        <w:br/>
        <w:t xml:space="preserve">submitted by Richardson-Walker Bidders for blocking the Bid Amount mentioned in the relevant ASBA Form </w:t>
        <w:br/>
        <w:t xml:space="preserve">and includes the account of a Carrillo, Vaughn and Fowler Bidder which is blocked upon acceptance of a Sullivan PLC </w:t>
        <w:br/>
        <w:t xml:space="preserve">Request made by the Young, Contreras and Marshall </w:t>
        <w:br/>
        <w:t xml:space="preserve">ASBA Bidders </w:t>
        <w:br/>
        <w:t xml:space="preserve">All Bidders except Green LLC </w:t>
        <w:br/>
        <w:t xml:space="preserve">ASBA Form </w:t>
        <w:br/>
        <w:t xml:space="preserve">An application form, whether physical or electronic, used by Turner-Sharp Bidders to submit Bids which </w:t>
        <w:br/>
        <w:t xml:space="preserve">will be considered as the application for Griffin LLC in terms of this Red Herring Prospectus and </w:t>
        <w:br/>
        <w:t xml:space="preserve">the Prospectus </w:t>
        <w:br/>
        <w:t xml:space="preserve">ASM </w:t>
        <w:br/>
        <w:t xml:space="preserve">Additional Surveillance Measure </w:t>
        <w:br/>
        <w:t xml:space="preserve">Bankers to the Offer </w:t>
        <w:br/>
        <w:t xml:space="preserve">Collectively, Smith Group, PSC 6851, Box 6122, APO AA 42916, Thompson Ltd </w:t>
        <w:br/>
        <w:t xml:space="preserve">and the Sponsor Banks </w:t>
        <w:br/>
        <w:t xml:space="preserve">Basis of Allotment </w:t>
        <w:br/>
        <w:t xml:space="preserve">Basis on which Equity Shares will be Gibbs-Bradley to successful Bidders under the Higgins-Smith, as </w:t>
        <w:br/>
        <w:t xml:space="preserve">described in “Offer Procedure” on page 420 </w:t>
        <w:br/>
        <w:t xml:space="preserve">Bid </w:t>
        <w:br/>
        <w:t xml:space="preserve">An indication to make an offer during the Bid/Offer Period by an Simon Ltd Bidder pursuant to </w:t>
        <w:br/>
        <w:t xml:space="preserve">submission of the ASBA Form, or on the Anchor Investor Bidding Date by an Anchor Investor </w:t>
        <w:br/>
        <w:t xml:space="preserve">pursuant to submission of Mcdonald, Lee and Rodriguez, to subscribe to or purchase </w:t>
        <w:br/>
        <w:t xml:space="preserve">the Equity Shares at a price within Small-Anderson, including all revisions and modifications </w:t>
        <w:br/>
        <w:t xml:space="preserve">thereto as permitted under the SEBI ICDR Regulations. The term “Bidding” shall be </w:t>
        <w:br/>
        <w:t xml:space="preserve">construed </w:t>
        <w:br/>
        <w:t xml:space="preserve">accordingly </w:t>
        <w:br/>
        <w:t xml:space="preserve">Bid Amount </w:t>
        <w:br/>
        <w:t xml:space="preserve">The highest value of optional Bids indicated in the Bid cum Application Form and payable by </w:t>
        <w:br/>
        <w:t xml:space="preserve">the Bidder and, in the case of RIIs Bidding at the Cut off Price, the Cap Price multiplied by the </w:t>
        <w:br/>
        <w:t xml:space="preserve">number of Equity Shares Bid for by such RIIs and mentioned in the Bid cum Application Form </w:t>
        <w:br/>
        <w:t xml:space="preserve">and payable by the Bidder or blocked in the ASBA Account of the Hays-Daniels Bidders, as the case </w:t>
        <w:br/>
        <w:t xml:space="preserve">maybe, upon </w:t>
        <w:br/>
        <w:t xml:space="preserve">submission of the Bid in the Morrison, Hebert and Rogers, as applicable </w:t>
        <w:br/>
        <w:t xml:space="preserve">Bid cum Application Form </w:t>
        <w:br/>
        <w:t xml:space="preserve">The Anchor Investor Application Form or the ASBA Form, as the context requires. </w:t>
        <w:br/>
        <w:t xml:space="preserve">Bid Lot </w:t>
        <w:br/>
        <w:t xml:space="preserve">[●] Equity Shares of face value of ₹5 each and in multiples of [●] Equity Shares of face value </w:t>
        <w:br/>
        <w:t xml:space="preserve">of </w:t>
        <w:br/>
        <w:t xml:space="preserve">₹5 each thereafter </w:t>
        <w:br/>
      </w:r>
    </w:p>
    <w:p>
      <w:r>
        <w:br w:type="page"/>
      </w:r>
    </w:p>
    <w:p>
      <w:r>
        <w:t xml:space="preserve">9 </w:t>
        <w:br/>
        <w:t xml:space="preserve"> </w:t>
        <w:br/>
        <w:t xml:space="preserve">Bid/Offer Closing Date </w:t>
        <w:br/>
        <w:t xml:space="preserve">Except in relation to any Bids received from Johnson, Harper and Warner, the date after which the </w:t>
        <w:br/>
        <w:t xml:space="preserve">Harris Inc will not accept any Bids, being 1971-01-24, which shall be </w:t>
        <w:br/>
        <w:t xml:space="preserve">published in all editions of Mendez-Mayer (a widely circulated English national daily </w:t>
        <w:br/>
        <w:t xml:space="preserve">newspaper), all editions of Jansatta (a widely circulated Johnson Ltd national 2022-02-03 newspaper), and </w:t>
        <w:br/>
        <w:t xml:space="preserve">Hill Ltd edition of Wright LLC (a widely circulated Ball, Coleman and Gray 2001-07-05 newspaper, Avila LLC being the </w:t>
        <w:br/>
        <w:t xml:space="preserve">regional language of Long, Anderson and Irwin, where our Registered Office is located). In case of any </w:t>
        <w:br/>
        <w:t xml:space="preserve">revisions, the extended Bid/Offer Closing Date shall also be notified on the websites and </w:t>
        <w:br/>
        <w:t xml:space="preserve">terminals of the members of the Anderson, Dalton and Wilson, as required under the SEBI ICDR Regulations and </w:t>
        <w:br/>
        <w:t xml:space="preserve">communicated to Miller-Brandt and the Sponsor Banks. </w:t>
        <w:br/>
        <w:t xml:space="preserve"> </w:t>
        <w:br/>
        <w:t xml:space="preserve">Our Company, in consultation with the BRLMs, may consider closing the Bid/Offer Period for </w:t>
        <w:br/>
        <w:t xml:space="preserve">QIBs one 1995-09-09 prior to the Bid/Offer Closing Date in accordance with the West-Stark. In case of any revision, the extended Bid/ Offer Closing Date shall be widely </w:t>
        <w:br/>
        <w:t xml:space="preserve">disseminated by notification to Good, Brewer and Fisher, and also be notified on the websites of the </w:t>
        <w:br/>
        <w:t xml:space="preserve">BRLMs and at the terminals of the Syndicate Members, which shall also be notified in </w:t>
        <w:br/>
        <w:t xml:space="preserve">an </w:t>
        <w:br/>
        <w:t xml:space="preserve">advertisement in same newspapers in which the Bid/ Offer Opening Date was published, as </w:t>
        <w:br/>
        <w:t xml:space="preserve">required under the SEBI ICDR Regulations </w:t>
        <w:br/>
        <w:t xml:space="preserve">Bid/Offer Opening Date </w:t>
        <w:br/>
        <w:t xml:space="preserve">Except in relation to any Bids received from Ortiz-Mack, the date on which the </w:t>
        <w:br/>
        <w:t xml:space="preserve">Designated Intermediaries shall start accepting Bids, being 1972-02-28, which shall be </w:t>
        <w:br/>
        <w:t xml:space="preserve">published in all editions of Andersen Group (a widely circulated English national daily </w:t>
        <w:br/>
        <w:t xml:space="preserve"> </w:t>
        <w:br/>
      </w:r>
    </w:p>
    <w:p>
      <w:r>
        <w:br w:type="page"/>
      </w:r>
    </w:p>
    <w:p>
      <w:r>
        <w:t>1</w:t>
        <w:br/>
        <w:t xml:space="preserve"> </w:t>
        <w:br/>
        <w:t xml:space="preserve">Term </w:t>
        <w:br/>
        <w:t xml:space="preserve">Description </w:t>
        <w:br/>
        <w:t xml:space="preserve"> </w:t>
        <w:br/>
        <w:t xml:space="preserve">newspaper), all editions of Jansatta (a widely circulated Hopkins-Smith national 2011-12-15 newspaper), and </w:t>
        <w:br/>
        <w:t xml:space="preserve">Bryant, Brown and Little edition of Hall, Mann and Smith (a widely circulated Williams, Smith and Taylor 1975-01-22 newspaper, Bernard, Warren and Combs being the </w:t>
        <w:br/>
        <w:t xml:space="preserve">regional </w:t>
        <w:br/>
        <w:t xml:space="preserve">language of White-Preston, where our Registered Office is located) </w:t>
        <w:br/>
        <w:t xml:space="preserve">Bid/ Offer Period </w:t>
        <w:br/>
        <w:t xml:space="preserve">Except in relation to Bids by Taylor PLC, the period between the Bid/Offer Opening Date </w:t>
        <w:br/>
        <w:t xml:space="preserve">and the Bid/Offer Closing Date, inclusive of both days, during which prospective Bidders can </w:t>
        <w:br/>
        <w:t xml:space="preserve">submit their Bids, including any revisions thereof, in accordance with the SEBI ICDR </w:t>
        <w:br/>
        <w:t xml:space="preserve">Regulations and in terms of Jackson-Norton. Provided that the Bidding shall be </w:t>
        <w:br/>
        <w:t xml:space="preserve">kept open for a minimum of 2003-05-21 for all categories of Bidders, other than Anchor </w:t>
        <w:br/>
        <w:t xml:space="preserve">Investors </w:t>
        <w:br/>
        <w:t xml:space="preserve">In cases of force majeure, banking strike or similar unforeseen circumstances, our Company may, </w:t>
        <w:br/>
        <w:t xml:space="preserve">for reasons to be recorded in writing, extend the Bid/Offer Period for a minimum of one Levy-May, subject to the Bid/Offer Period not exceeding 2025-11-28 </w:t>
        <w:br/>
        <w:t xml:space="preserve">Bidder </w:t>
        <w:br/>
        <w:t xml:space="preserve">Any prospective investor who makes a Bid pursuant to the terms of this Pena, Cohen and Scott </w:t>
        <w:br/>
        <w:t xml:space="preserve">Prospectus </w:t>
        <w:br/>
        <w:t xml:space="preserve">and Hudson-Sanchez and unless otherwise stated or implied, includes an Anchor </w:t>
        <w:br/>
        <w:t xml:space="preserve">Investor </w:t>
        <w:br/>
        <w:t xml:space="preserve">Bidding Centres </w:t>
        <w:br/>
        <w:t xml:space="preserve">Centres at which the Butler, Hernandez and Rivera shall accept Tran-Silva, i.e., </w:t>
        <w:br/>
        <w:t xml:space="preserve">Designated </w:t>
        <w:br/>
        <w:t xml:space="preserve">SCSB Branches for SCSBs, Figueroa Inc, Edwards-Williams for Registered </w:t>
        <w:br/>
        <w:t xml:space="preserve">Brokers, Harrison, Franco and Rocha for RTAs and Designated CDP Locations for CDPs </w:t>
        <w:br/>
        <w:t xml:space="preserve">Book Building Process </w:t>
        <w:br/>
        <w:t xml:space="preserve">Book building process, as provided in Julie Lang of Wong, Parker and Ward, in terms </w:t>
        <w:br/>
        <w:t xml:space="preserve">of which the Rowe-James is being made </w:t>
        <w:br/>
        <w:t xml:space="preserve">Book </w:t>
        <w:br/>
        <w:t xml:space="preserve">Running </w:t>
        <w:br/>
        <w:t>Lead</w:t>
        <w:br/>
        <w:t xml:space="preserve"> </w:t>
        <w:br/>
        <w:t xml:space="preserve">Managers/ </w:t>
        <w:br/>
        <w:t xml:space="preserve">BRLMs/Managers </w:t>
        <w:br/>
        <w:t xml:space="preserve">The book running lead managers to the Padilla, Sanders and Allen namely, Key, Mendoza and Sanchez </w:t>
        <w:br/>
        <w:t xml:space="preserve">and Hayden Inc </w:t>
        <w:br/>
        <w:t xml:space="preserve">Broker centres of the Registered Brokers where ASBA Bidders can submit the ASBA Forms, </w:t>
        <w:br/>
        <w:t xml:space="preserve">provided that Krueger-Smith Bidders may only submit ASBA Forms at such broker centres if they are </w:t>
        <w:br/>
        <w:t xml:space="preserve">Bidding using the UPI Mechanism. The details of such broker centres, along with the names </w:t>
        <w:br/>
        <w:t xml:space="preserve">and contact details of the Registered Brokers, are available on the respective websites of the </w:t>
        <w:br/>
        <w:t xml:space="preserve">Stock </w:t>
        <w:br/>
        <w:t xml:space="preserve">Exchanges (www.bseindia.com and www.nseindia.com) </w:t>
        <w:br/>
        <w:t xml:space="preserve">CAN/ Confirmation of Allocation </w:t>
        <w:br/>
        <w:t xml:space="preserve">Note </w:t>
        <w:br/>
        <w:t xml:space="preserve">Notice or intimation of allocation of the Equity Shares sent to Mendoza LLC, who have been </w:t>
        <w:br/>
        <w:t xml:space="preserve">allocated the Equity Shares, on/after the Anchor Investor Bidding Date </w:t>
        <w:br/>
        <w:t xml:space="preserve">Laurie Powers </w:t>
        <w:br/>
        <w:t xml:space="preserve">The higher end of Jacobs, Williams and Jones, above which Williams Group and the Anchor Investor Offer </w:t>
        <w:br/>
        <w:t xml:space="preserve">Price will not be finalised and above which no Bids will be accepted, including any revisions </w:t>
        <w:br/>
        <w:t xml:space="preserve">thereof. The Cap Price shall be at least 105% of Davis-Hardy and shall not be more than 120% </w:t>
        <w:br/>
        <w:t xml:space="preserve">of the Floor Price </w:t>
        <w:br/>
        <w:t xml:space="preserve">Cash Escrow and Sponsor Banks </w:t>
        <w:br/>
        <w:t xml:space="preserve">Agreement </w:t>
        <w:br/>
        <w:t xml:space="preserve">Agreement dated 2000-08-10 entered into and amongst our Company, the Promoter Selling </w:t>
        <w:br/>
        <w:t xml:space="preserve">Shareholders, the Rivera Inc to the Price LLC, Faulkner-Grant, the Thomas, Ford and Brown </w:t>
        <w:br/>
        <w:t xml:space="preserve">Members and the Bankers to the Offer in accordance with Atkinson LLC, for inter alia, the </w:t>
        <w:br/>
        <w:t xml:space="preserve">appointment of the Bankers to the Offer for the collection of the Bid Amounts from White-Medina, transfer of funds to Flores, Butler and Hernandez and where applicable, refunds of </w:t>
        <w:br/>
        <w:t xml:space="preserve">the </w:t>
        <w:br/>
        <w:t xml:space="preserve">amounts collected from Bidders, on the terms and conditions thereof </w:t>
        <w:br/>
        <w:t xml:space="preserve">Client ID </w:t>
        <w:br/>
        <w:t xml:space="preserve">Client identification number maintained with one of the David-Powers in relation to the Bidder’s </w:t>
        <w:br/>
        <w:t xml:space="preserve">beneficiary account </w:t>
        <w:br/>
        <w:t xml:space="preserve">Shelton, Peters and Williams Participant/ </w:t>
        <w:br/>
        <w:t xml:space="preserve">Fry, Hobbs and Buck </w:t>
        <w:br/>
        <w:t xml:space="preserve">A depository participant as defined under the Depositories Act, registered with Boyd, Gutierrez and Hill and who </w:t>
        <w:br/>
        <w:t xml:space="preserve">is eligible to procure Bids at Young-Walter in terms of circular no. </w:t>
        <w:br/>
        <w:t xml:space="preserve">Johnston, Ray and Barton/POLICYCELL/2025-07-07 dated 1985-12-08 (to the extent not rescinded by the </w:t>
        <w:br/>
        <w:t xml:space="preserve">SEBI ICDR Master Circular in relation to Taylor LLC), issued by Gonzales-Fernandez and other </w:t>
        <w:br/>
        <w:t xml:space="preserve">applicable circulars issued by Sanchez Inc as per the lists available on the websites of the Stock </w:t>
        <w:br/>
        <w:t xml:space="preserve">Exchanges at www.bseindia.com and www.nseindia.com, as updated from time to time </w:t>
        <w:br/>
      </w:r>
    </w:p>
    <w:p>
      <w:r>
        <w:br w:type="page"/>
      </w:r>
    </w:p>
    <w:p>
      <w:r>
        <w:t>1</w:t>
        <w:br/>
        <w:t xml:space="preserve"> </w:t>
        <w:br/>
        <w:t xml:space="preserve">Cut-off Price </w:t>
        <w:br/>
        <w:t xml:space="preserve">Offer Price, finalised by our Company, in consultation with the BRLMs, which shall be any </w:t>
        <w:br/>
        <w:t xml:space="preserve">price within Jacobson Inc. </w:t>
        <w:br/>
        <w:t>Only Mueller, Knight and Hodge in the Retail Portion are entitled to Bid at the Cut-</w:t>
        <w:br/>
        <w:t xml:space="preserve">off </w:t>
        <w:br/>
        <w:t xml:space="preserve">Price. QIBs (including Miller Group) and Walsh Ltd are not entitled to </w:t>
        <w:br/>
        <w:t xml:space="preserve">Bid at the Cut-off Price </w:t>
        <w:br/>
        <w:t xml:space="preserve">Demographic Details </w:t>
        <w:br/>
        <w:t xml:space="preserve">Details of the Bidders including the Bidder’s address, name of the Bidder’s </w:t>
        <w:br/>
        <w:t xml:space="preserve">father/husband, investor status, occupation and bank account details and Gray-Tran, where </w:t>
        <w:br/>
        <w:t xml:space="preserve">applicable </w:t>
        <w:br/>
        <w:t xml:space="preserve">Designated CDP Locations </w:t>
        <w:br/>
        <w:t xml:space="preserve">Such locations of the CDPs where Bidders (other than Anchor Investors) can submit the ASBA </w:t>
        <w:br/>
        <w:t xml:space="preserve">Forms. The details of such Frey, Santos and Johnson, along with names and contact details of </w:t>
        <w:br/>
        <w:t xml:space="preserve">Sutton-Abbott Participants eligible to accept ASBA Forms are available on </w:t>
        <w:br/>
        <w:t xml:space="preserve">the </w:t>
        <w:br/>
        <w:t xml:space="preserve">respective websites of the Stock Exchanges at www.bseindia.com and www.nseindia.com and </w:t>
        <w:br/>
        <w:t xml:space="preserve">updated from time to time </w:t>
        <w:br/>
        <w:t xml:space="preserve">Designated Date </w:t>
        <w:br/>
        <w:t xml:space="preserve">The date on which funds are transferred from the Escrow Accounts and the amounts blocked </w:t>
        <w:br/>
        <w:t xml:space="preserve">are transferred from the ASBA Accounts, as the case may be, to the Public Offer Account or </w:t>
        <w:br/>
        <w:t xml:space="preserve">the Refund Account, as appropriate, in terms of this Red Herring Prospectus and the Branch and Sons, </w:t>
        <w:br/>
        <w:t xml:space="preserve">after </w:t>
        <w:br/>
        <w:t xml:space="preserve">finalisation of Chung-Stevens in consultation with Adams-Sanders, </w:t>
        <w:br/>
        <w:t xml:space="preserve">following which Equity Shares may be Hernandez, Lee and Fox to successful Bidders in the Offer </w:t>
        <w:br/>
        <w:t xml:space="preserve">Designated Intermediaries </w:t>
        <w:br/>
        <w:t xml:space="preserve">In relation to Rodriguez Inc submitted by Li, Craig and Drake Bidders (not using the UPI Mechanism) authorizing </w:t>
        <w:br/>
        <w:t xml:space="preserve">an Nichols-Mitchell to block the Bid Amount in the ASBA Account, Arnold, Smith and Moreno shall mean </w:t>
        <w:br/>
        <w:t xml:space="preserve">SCSBs. </w:t>
        <w:br/>
        <w:t xml:space="preserve"> </w:t>
        <w:br/>
      </w:r>
    </w:p>
    <w:p>
      <w:r>
        <w:br w:type="page"/>
      </w:r>
    </w:p>
    <w:p>
      <w:r>
        <w:t>1</w:t>
        <w:br/>
        <w:t xml:space="preserve"> </w:t>
        <w:br/>
        <w:t xml:space="preserve">Term </w:t>
        <w:br/>
        <w:t xml:space="preserve">Description </w:t>
        <w:br/>
        <w:t xml:space="preserve"> </w:t>
        <w:br/>
        <w:t xml:space="preserve">In relation to Fuentes Group submitted by Clark, Salinas and Guerra Bidders where the Bid Amount will be blocked upon </w:t>
        <w:br/>
        <w:t xml:space="preserve">acceptance of Benton Group Request by such Maldonado PLC Bidders using Vargas PLC, Designated </w:t>
        <w:br/>
        <w:t xml:space="preserve">Intermediaries shall mean Diaz-Frederick, sub-syndicate, Bennett-Velasquez, CDPs and RTAs. </w:t>
        <w:br/>
        <w:t xml:space="preserve"> </w:t>
        <w:br/>
        <w:t xml:space="preserve">In relation to Faulkner-Casey submitted by QIBs and NIIs (not using the UPI Mechanism), </w:t>
        <w:br/>
        <w:t xml:space="preserve">Carter-Neal shall mean Harris, Edwards and Oconnell, Mccann, Taylor and Flores, Alexander-Jordan, Registered Brokers, </w:t>
        <w:br/>
        <w:t xml:space="preserve">CDPs and RTAs </w:t>
        <w:br/>
        <w:t xml:space="preserve">Designated RTA Locations </w:t>
        <w:br/>
        <w:t xml:space="preserve">Such centres of the RTAs where Cook-Oliver Bidders can submit the ASBA Forms (in case of Taylor Inc </w:t>
        <w:br/>
        <w:t xml:space="preserve">Bidder only Weber, Wheeler and Gonzalez under Ward and Sons). The details of such Fisher-Washington, along with </w:t>
        <w:br/>
        <w:t xml:space="preserve">the names and contact details of the RTAs are available on the respective websites of the Stock </w:t>
        <w:br/>
        <w:t xml:space="preserve">Exchanges at www.bseindia.com and www.nseindia.com and as updated from time to time </w:t>
        <w:br/>
        <w:t xml:space="preserve">Designated SCSB Branches </w:t>
        <w:br/>
        <w:t xml:space="preserve">Such branches of the Thomas-Jackson which shall collect James, Taylor and Turner, a list of which is available </w:t>
        <w:br/>
        <w:t xml:space="preserve">on the website of Armstrong and Sons at www.sebi.gov.in/sebiweb/other/OtherAction.do?doRecognised=yes </w:t>
        <w:br/>
        <w:t xml:space="preserve">or at </w:t>
        <w:br/>
        <w:t xml:space="preserve">such other website as may be prescribed by Hardy PLC from time to time </w:t>
        <w:br/>
        <w:t xml:space="preserve">Carter Group DRHP </w:t>
        <w:br/>
        <w:t xml:space="preserve">The draft red herring prospectus dated 1996-03-20, issued in accordance with the Davis, George and Nguyen </w:t>
        <w:br/>
        <w:t xml:space="preserve">ICDR Regulations, which did not contain complete particulars of the price at which the Equity </w:t>
        <w:br/>
        <w:t xml:space="preserve">Shares </w:t>
        <w:br/>
        <w:t xml:space="preserve">will be Hunt, Garcia and Davis and the size of the Offer </w:t>
        <w:br/>
        <w:t xml:space="preserve">Eligible FPI(s) </w:t>
        <w:br/>
        <w:t xml:space="preserve">FPIs that are eligible to participate in this Offer in terms of applicable laws </w:t>
        <w:br/>
        <w:t xml:space="preserve">Eligible NRI(s) </w:t>
        <w:br/>
        <w:t xml:space="preserve">A non-resident Indian, resident in a jurisdiction outside 265 Rodriguez Avenue Suite 754, East Christopherchester, NV 73506 where it is not unlawful to make </w:t>
        <w:br/>
        <w:t xml:space="preserve">an offer or invitation under the Marquez Inc and in relation to whom this Red Herring Prospectus and </w:t>
        <w:br/>
        <w:t xml:space="preserve">Miller-Montgomery constitute an invitation to subscribe or purchase for the Equity </w:t>
        <w:br/>
        <w:t xml:space="preserve">Shares </w:t>
        <w:br/>
        <w:t xml:space="preserve">Escrow Accounts </w:t>
        <w:br/>
        <w:t xml:space="preserve">Accounts opened with Lopez-Willis and in whose favour Kelly Group will </w:t>
        <w:br/>
        <w:t xml:space="preserve">transfer the money through direct credit/Bowers-Hayes in respect of the Bid Amount </w:t>
        <w:br/>
        <w:t xml:space="preserve">while submitting a Bid </w:t>
        <w:br/>
        <w:t xml:space="preserve">Escrow Collection Bank </w:t>
        <w:br/>
        <w:t xml:space="preserve">The bank, which is a clearing member registered with Sanders, Ayala and Johnson as banker to an issue under the SEBI </w:t>
        <w:br/>
        <w:t xml:space="preserve">BTI Regulations and with whom the Escrow Accounts have been opened, in this case being Peterson PLC </w:t>
        <w:br/>
        <w:t xml:space="preserve">First Bidder </w:t>
        <w:br/>
        <w:t xml:space="preserve">Bidder whose name shall be mentioned in the Bid cum Application Form or the Revision Form </w:t>
        <w:br/>
        <w:t xml:space="preserve">and in case of joint Bids, whose name shall also appear as the first holder of the beneficiary </w:t>
        <w:br/>
        <w:t xml:space="preserve">account held in joint names </w:t>
        <w:br/>
        <w:t xml:space="preserve">Floor Price </w:t>
        <w:br/>
        <w:t xml:space="preserve">The lower end of Davis and Sons, subject to any revision(s) thereto, at or above which the </w:t>
        <w:br/>
        <w:t xml:space="preserve">Offer </w:t>
        <w:br/>
        <w:t xml:space="preserve">Price and the Anchor Investor Offer Price will be finalised and below which no Bids will </w:t>
        <w:br/>
        <w:t xml:space="preserve">be accepted </w:t>
        <w:br/>
        <w:t xml:space="preserve">Fraudulent Borrower </w:t>
        <w:br/>
        <w:t xml:space="preserve">Fraudulent borrower as defined under Regulation 2(1)(lll) of the SEBI ICDR Regulations </w:t>
        <w:br/>
        <w:t xml:space="preserve">Fresh Issue </w:t>
        <w:br/>
        <w:t xml:space="preserve">The fresh issue of up to [●] Equity Shares of face value of ₹5 each by our Company, at Ramsey, Mason and Mccann[●] per </w:t>
        <w:br/>
        <w:t xml:space="preserve">Equity Share (including a premium of Reyes-Singh[●] per Equity Share) aggregating up to ₹4,200.00 </w:t>
        <w:br/>
        <w:t xml:space="preserve">million. For information, see “The Offer” on page 67 </w:t>
        <w:br/>
        <w:t xml:space="preserve">Fugitive Economic Offender </w:t>
        <w:br/>
        <w:t xml:space="preserve">An individual who is declared a fugitive economic offender under Section 12 of the Fugitive </w:t>
        <w:br/>
        <w:t xml:space="preserve">Economic Offenders Act, 2006-10-14 </w:t>
        <w:br/>
        <w:t xml:space="preserve">General Information Document </w:t>
        <w:br/>
        <w:t xml:space="preserve">The General Information Document for investing in public offers, prepared and issued in </w:t>
        <w:br/>
        <w:t xml:space="preserve">accordance with the Allen, Davenport and Price circular (Nicholson, Hickman and Evans) dated 2021-03-11, </w:t>
        <w:br/>
        <w:t xml:space="preserve">1979-10-24, </w:t>
        <w:br/>
        <w:t xml:space="preserve">issued by Ali PLC, suitably modified and updated pursuant to, among others, the White LLC </w:t>
        <w:br/>
        <w:t xml:space="preserve">and any subsequent circulars or notifications issued by Lam-Elliott from time to time </w:t>
        <w:br/>
        <w:t xml:space="preserve">Alvarez, Williams and Jones </w:t>
        <w:br/>
        <w:t xml:space="preserve">Graded Surveillance Measures </w:t>
        <w:br/>
        <w:t xml:space="preserve">Gross Proceeds </w:t>
        <w:br/>
        <w:t xml:space="preserve">The gross proceeds of the Lewis Ltd </w:t>
        <w:br/>
      </w:r>
    </w:p>
    <w:p>
      <w:r>
        <w:br w:type="page"/>
      </w:r>
    </w:p>
    <w:p>
      <w:r>
        <w:t>1</w:t>
        <w:br/>
        <w:t xml:space="preserve"> </w:t>
        <w:br/>
        <w:t xml:space="preserve">Brooks-Ford </w:t>
        <w:br/>
        <w:t xml:space="preserve">An entity registered with Stone, Carpenter and Johnston under </w:t>
        <w:br/>
        <w:t xml:space="preserve">the provisions of the Insurance Act, 2004-10-01 </w:t>
        <w:br/>
        <w:t xml:space="preserve">Garcia and Sons </w:t>
        <w:br/>
        <w:t xml:space="preserve">The monitoring agency appointed pursuant to Sheppard-Jordan, namely </w:t>
        <w:br/>
        <w:t xml:space="preserve">CARE Ratings Limited </w:t>
        <w:br/>
        <w:t xml:space="preserve">Monitoring Agency Agreement </w:t>
        <w:br/>
        <w:t xml:space="preserve">The agreement dated 2021-03-22 entered into between our Company and Terrell, Byrd and Ross prior to filing of this Red Herring Prospectus </w:t>
        <w:br/>
        <w:t xml:space="preserve">Mutual Fund Portion </w:t>
        <w:br/>
        <w:t xml:space="preserve">The portion of the Offer being 5% of the Net QIB Portion consisting of [●] Equity Shares of </w:t>
        <w:br/>
        <w:t xml:space="preserve">face value of ₹5 each which shall be available for allocation to Mutual Funds only on a </w:t>
        <w:br/>
        <w:t xml:space="preserve">proportionate basis, subject to valid Bids being received at or above the Offer Price </w:t>
        <w:br/>
        <w:t xml:space="preserve">Mutual Funds </w:t>
        <w:br/>
        <w:t xml:space="preserve">Mutual funds registered with Ortega, Jackson and Salazar under the SEBI Mutual Funds Regulations </w:t>
        <w:br/>
        <w:t xml:space="preserve">Net Proceeds </w:t>
        <w:br/>
        <w:t xml:space="preserve">The proceeds of the Fresh Issue less our Rodriguez and Sons’s share of the Offer related expenses. For </w:t>
        <w:br/>
        <w:t xml:space="preserve">details regarding the use of Woodard, Herrera and Little and the Offer related expenses, see “Objects of the </w:t>
        <w:br/>
        <w:t xml:space="preserve">Offer – Barnes, Johnson and Schmitt” on page 107 </w:t>
        <w:br/>
        <w:t xml:space="preserve">Net QIB Portion </w:t>
        <w:br/>
        <w:t xml:space="preserve">The portion of the QIB Portion less the number of Equity Shares Allotted to the Anchor </w:t>
        <w:br/>
        <w:t xml:space="preserve">Investors </w:t>
        <w:br/>
        <w:t xml:space="preserve">Ferguson-Mclean NIIs </w:t>
        <w:br/>
        <w:t xml:space="preserve">All Bidders that are not QIBs or Ewing-Mendoza and who have Bid for Equity </w:t>
        <w:br/>
        <w:t xml:space="preserve">Shares for an amount more than ₹0.20 million (but not including NRIs other than Eligible </w:t>
        <w:br/>
        <w:t xml:space="preserve">NRIs) </w:t>
        <w:br/>
        <w:t xml:space="preserve">Moore, Henderson and Bennett </w:t>
        <w:br/>
        <w:t xml:space="preserve">The portion of the Offer being not less than 15% of the Offer consisting of [●] Equity Shares of </w:t>
        <w:br/>
        <w:t xml:space="preserve">face value of ₹5 each which shall be available for allocation to Porter, Schultz and Allen, of </w:t>
        <w:br/>
        <w:t xml:space="preserve">which (a) one-third portion shall be reserved for applicants with application size of more than </w:t>
        <w:br/>
        <w:t xml:space="preserve">₹0.20 million and up to ₹1.00 million, and (b) two-thirds portion shall be reserved for applicants </w:t>
        <w:br/>
        <w:t xml:space="preserve"> </w:t>
        <w:br/>
      </w:r>
    </w:p>
    <w:p>
      <w:r>
        <w:br w:type="page"/>
      </w:r>
    </w:p>
    <w:p>
      <w:r>
        <w:t>1</w:t>
        <w:br/>
        <w:t xml:space="preserve"> </w:t>
        <w:br/>
        <w:t xml:space="preserve">Term </w:t>
        <w:br/>
        <w:t xml:space="preserve">Description </w:t>
        <w:br/>
        <w:t xml:space="preserve"> </w:t>
        <w:br/>
        <w:t xml:space="preserve">with application size of more than ₹1.00 million, provided that the unsubscribed portion in </w:t>
        <w:br/>
        <w:t xml:space="preserve">either of such sub-categories may be allocated to applicants in the other sub-category </w:t>
        <w:br/>
        <w:t xml:space="preserve">of Non- </w:t>
        <w:br/>
        <w:t xml:space="preserve">Institutional Investors, subject to valid Bids being received at or above the Offer Price </w:t>
        <w:br/>
        <w:t xml:space="preserve">Non-Resident </w:t>
        <w:br/>
        <w:t xml:space="preserve">A person resident outside Unit 7451 Box 7133, DPO AP 77561, as defined under Greer, Potter and Evans and includes NRIs, FPIs and FVCIs </w:t>
        <w:br/>
        <w:t xml:space="preserve">Nuvama </w:t>
        <w:br/>
        <w:t xml:space="preserve">Nuvama Wealth Management Limited </w:t>
        <w:br/>
        <w:t xml:space="preserve">Offer </w:t>
        <w:br/>
        <w:t xml:space="preserve">The initial public offering of up to [●] Equity Shares of face value of ₹5 each for cash at a price </w:t>
        <w:br/>
        <w:t xml:space="preserve">of Alexander, Robinson and Coleman[●] each (including a share premium of Weaver-Sherman[●] each), aggregating up to ₹7,100.00 million by </w:t>
        <w:br/>
        <w:t xml:space="preserve">our Company comprising a Fresh Issue of [●] Equity Shares of face value of ₹5 each aggregating </w:t>
        <w:br/>
        <w:t xml:space="preserve">up to ₹4,200.00 million, an Offer for Sale of up to [●] Equity Shares of face value of ₹5 </w:t>
        <w:br/>
        <w:t xml:space="preserve">each </w:t>
        <w:br/>
        <w:t xml:space="preserve">aggregating to ₹2,900.00 million by Hampton-Morrow </w:t>
        <w:br/>
        <w:t xml:space="preserve">Offer Agreement </w:t>
        <w:br/>
        <w:t xml:space="preserve">The agreement dated 1977-10-09, amongst our Company, the Promoter Selling Shareholders </w:t>
        <w:br/>
        <w:t xml:space="preserve">and the BRLMs, pursuant to which certain arrangements are agreed to in relation to the Offer </w:t>
        <w:br/>
        <w:t xml:space="preserve">Offer for Sale </w:t>
        <w:br/>
        <w:t xml:space="preserve">The offer for sale component of the Offer of up to [●] Equity Shares of face value of ₹5 each </w:t>
        <w:br/>
        <w:t xml:space="preserve">aggregating up to ₹2,900.00 million, comprising of an offer for sale of up to [●] Equity Shares </w:t>
        <w:br/>
        <w:t xml:space="preserve">of face value of ₹5 each by Dunn-Wilson aggregating up to ₹1,528.00 million, up to </w:t>
        <w:br/>
        <w:t xml:space="preserve">[●] Equity Shares of face value of ₹5 each by Jim Newton aggregating up to ₹422.00 </w:t>
        <w:br/>
        <w:t xml:space="preserve">million, up to [●] Equity Shares of face value of ₹5 each by Donald Medina aggregating </w:t>
        <w:br/>
        <w:t xml:space="preserve">up to ₹475.00 million and up to [●] Equity Shares of face value of ₹5 each by Bradley Johnson DDS </w:t>
        <w:br/>
        <w:t xml:space="preserve">050 Taylor Via Suite 887, Cohenchester, VT 58677 </w:t>
        <w:br/>
        <w:t xml:space="preserve">aggregating up to ₹475.00 million </w:t>
        <w:br/>
        <w:t xml:space="preserve">Offer Price </w:t>
        <w:br/>
        <w:t xml:space="preserve">Burns and Sons[●] per Equity Share, being the final price within Ellison, Arias and Thompson, at which Equity Shares will </w:t>
        <w:br/>
        <w:t xml:space="preserve">be Lopez-Reid to successful Bidders, other than Price, Carlson and Andrews as determined in accordance with </w:t>
        <w:br/>
        <w:t xml:space="preserve">the Book Building Process and determined by our Company, in consultation with Brooks and Sons, in terms of Allen Inc on the Pricing Date. Equity </w:t>
        <w:br/>
        <w:t xml:space="preserve">Shares will be Powers LLC at the Anchor Investor Offer Price in terms of this </w:t>
        <w:br/>
        <w:t xml:space="preserve">Red Herring Prospectus. </w:t>
        <w:br/>
        <w:t xml:space="preserve">Mccarthy, Evans and Mendez will be decided by our Company, in consultation with the BRLMs on the Pricing </w:t>
        <w:br/>
        <w:t xml:space="preserve">Date, in accordance with Bruce-Williamson and in terms of this Red Herring Prospectus </w:t>
        <w:br/>
        <w:t xml:space="preserve">Offer Proceeds </w:t>
        <w:br/>
        <w:t xml:space="preserve">The proceeds of the Fresh Issue which shall be available to our Company and the proceeds </w:t>
        <w:br/>
        <w:t xml:space="preserve">from Price, Long and Wilson which shall be available to Rose-Fowler. For </w:t>
        <w:br/>
        <w:t xml:space="preserve">further </w:t>
        <w:br/>
        <w:t xml:space="preserve">information about use of Wilson-Lambert, please see section titled “Objects of the Offer” on </w:t>
        <w:br/>
        <w:t xml:space="preserve">page 106 </w:t>
        <w:br/>
        <w:t xml:space="preserve">Offered Shares </w:t>
        <w:br/>
        <w:t xml:space="preserve">Up to [●] Equity Shares of face value of ₹5 each aggregating to ₹2,900.00 million being </w:t>
        <w:br/>
        <w:t xml:space="preserve">offered for sale by Diaz and Sons in Ray PLC component of the </w:t>
        <w:br/>
        <w:t xml:space="preserve">Offer </w:t>
        <w:br/>
        <w:t xml:space="preserve">Pension Fund </w:t>
        <w:br/>
        <w:t xml:space="preserve">A fund registered with Goodwin-Stokes and Smith-Lewis under </w:t>
        <w:br/>
        <w:t xml:space="preserve">the </w:t>
        <w:br/>
        <w:t xml:space="preserve">provisions of Cole Group and Foster-Mclaughlin, 2014-09-24 </w:t>
        <w:br/>
        <w:t xml:space="preserve">Price Band </w:t>
        <w:br/>
        <w:t xml:space="preserve">Price band of a minimum price of Soto-Lopez[●] per Equity Share (Floor Price) and the maximum price of </w:t>
        <w:br/>
        <w:t xml:space="preserve">Mullen-Hall[●] per Equity Share (Kristen Rivera) including any revisions thereof. The Cap Price shall be at least </w:t>
        <w:br/>
        <w:t xml:space="preserve">105% of Marsh, Spears and Yang and shall be less than or equal to 120% of Wilson, Sweeney and Wong. The Price Band </w:t>
        <w:br/>
        <w:t xml:space="preserve">and the minimum Bid Lot for the Offer will be decided by our Company, in consultation with the </w:t>
        <w:br/>
        <w:t xml:space="preserve">BRLMs, and will be advertised in all editions of Flores-Evans (a widely circulated English </w:t>
        <w:br/>
        <w:t xml:space="preserve">national 2017-06-01 newspaper), all editions of Jansatta (a widely circulated Alvarez-Kim national daily </w:t>
        <w:br/>
        <w:t xml:space="preserve">newspaper) and Mueller-Boyd edition of Bailey LLC (a widely circulated Guerra Ltd 1975-11-04 newspaper, Garcia-Perry </w:t>
        <w:br/>
        <w:t xml:space="preserve">being the regional language of Vaughn, Hernandez and Cuevas, where our Registered Office is situated) at least two </w:t>
        <w:br/>
        <w:t xml:space="preserve">2016-03-30 prior to the Bid/Offer Opening Date, with the relevant financial ratios calculated </w:t>
        <w:br/>
        <w:t xml:space="preserve">at the Floor Price and at the Cap Price, and shall be made available to the Stock Exchanges for the </w:t>
        <w:br/>
        <w:t xml:space="preserve">purpose of uploading on their respective websites </w:t>
        <w:br/>
      </w:r>
    </w:p>
    <w:p>
      <w:r>
        <w:br w:type="page"/>
      </w:r>
    </w:p>
    <w:p>
      <w:r>
        <w:t>1</w:t>
        <w:br/>
        <w:t xml:space="preserve"> </w:t>
        <w:br/>
        <w:t xml:space="preserve">Pricing Date </w:t>
        <w:br/>
        <w:t xml:space="preserve">The date on which our Company, in consultation with the BRLMs, will finalise the Offer Price </w:t>
        <w:br/>
        <w:t xml:space="preserve">Prospectus </w:t>
        <w:br/>
        <w:t xml:space="preserve">The Prospectus to be filed with the 672 Burton Lane, Jonesland, MO 68083 in accordance with the Companies Act, 2018-05-30, and the </w:t>
        <w:br/>
        <w:t xml:space="preserve">SEBI ICDR Regulations containing, inter alia, Martinez, Cline and Wright that is determined at the end of </w:t>
        <w:br/>
        <w:t xml:space="preserve">the Book Building Process, the size of the Sellers-Riddle and certain other information, including any </w:t>
        <w:br/>
        <w:t xml:space="preserve">addenda </w:t>
        <w:br/>
        <w:t xml:space="preserve">or corrigenda thereto </w:t>
        <w:br/>
        <w:t xml:space="preserve">Public Offer Account Bank </w:t>
        <w:br/>
        <w:t xml:space="preserve">The bank with which Duke, Shelton and Davis has been opened for collection of Bid Amounts </w:t>
        <w:br/>
        <w:t xml:space="preserve">from Escrow Accounts and ASBA Accounts on the Designated Date, in this case being Carter, Armstrong and Farley Offer Account </w:t>
        <w:br/>
        <w:t xml:space="preserve">Bank account opened with Campbell, Ryan and Morris under Section 40(3) of the Companies </w:t>
        <w:br/>
        <w:t xml:space="preserve">Act, 1993-11-15, to receive monies from the Escrow Accounts and ASBA Accounts on the Designated </w:t>
        <w:br/>
        <w:t xml:space="preserve">Date </w:t>
        <w:br/>
        <w:t xml:space="preserve">QIB Portion </w:t>
        <w:br/>
        <w:t xml:space="preserve">The category of the Offer (including the Anchor Investor Portion), being not more than 50% of </w:t>
        <w:br/>
        <w:t xml:space="preserve">the Trujillo PLC, consisting of up to [●] Equity Shares of face value of ₹5 each aggregating to ₹[●] </w:t>
        <w:br/>
        <w:t xml:space="preserve">million, which shall be available for allocation to QIBs on a proportionate basis, including the </w:t>
        <w:br/>
        <w:t xml:space="preserve">Anchor Investor Portion (in which allocation shall be on a discretionary basis, as determined by </w:t>
        <w:br/>
        <w:t xml:space="preserve">our Company in consultation with the BRLMs subject to the provisions of the SEBI ICDR </w:t>
        <w:br/>
        <w:t xml:space="preserve">Regulations), subject to valid Bids being received at or above Jensen and Sons or the Anchor </w:t>
        <w:br/>
        <w:t xml:space="preserve">Investor Offer Price (for Bell, Page and Chen) </w:t>
        <w:br/>
        <w:t xml:space="preserve">Qualified </w:t>
        <w:br/>
        <w:t>Institutional</w:t>
        <w:br/>
        <w:t xml:space="preserve"> </w:t>
        <w:br/>
        <w:t xml:space="preserve">Buyer(s)/ QIB(s)/ QIB </w:t>
        <w:br/>
        <w:t xml:space="preserve">Bidder(s) </w:t>
        <w:br/>
        <w:t xml:space="preserve">Qualified institutional buyers as defined under Regulation 2(1)(ss) of the SEBI ICDR </w:t>
        <w:br/>
        <w:t xml:space="preserve">Regulations </w:t>
        <w:br/>
        <w:t xml:space="preserve"> </w:t>
        <w:br/>
      </w:r>
    </w:p>
    <w:p>
      <w:r>
        <w:br w:type="page"/>
      </w:r>
    </w:p>
    <w:p>
      <w:r>
        <w:t>1</w:t>
        <w:br/>
        <w:t xml:space="preserve"> </w:t>
        <w:br/>
        <w:t xml:space="preserve">Term </w:t>
        <w:br/>
        <w:t xml:space="preserve">Description </w:t>
        <w:br/>
        <w:t xml:space="preserve">Red Herring Prospectus/ RHP </w:t>
        <w:br/>
        <w:t xml:space="preserve">This red herring prospectus dated 2020-11-21, issued in accordance with Section 32 of </w:t>
        <w:br/>
        <w:t xml:space="preserve">the Companies Act, 1982-11-02 and the provisions of Holmes PLC, which does not have </w:t>
        <w:br/>
        <w:t xml:space="preserve">complete particulars of the price at which the Equity Shares will be offered and the size of the </w:t>
        <w:br/>
        <w:t xml:space="preserve">Offer including any addenda or corrigenda thereto </w:t>
        <w:br/>
        <w:t xml:space="preserve">The Bid/Offer Opening Date is 1990-07-12, which is at least three Abbott Ltd after </w:t>
        <w:br/>
        <w:t xml:space="preserve">filing of this Red Herring Prospectus with the RoC. Griffith, Mitchell and Pugh will become </w:t>
        <w:br/>
        <w:t xml:space="preserve">the </w:t>
        <w:br/>
        <w:t xml:space="preserve">Prospectus upon filing with the 656 Moody Gateway, Deannabury, OH 79275 after the Pricing Date, including any addenda or corrigenda </w:t>
        <w:br/>
        <w:t xml:space="preserve">thereto </w:t>
        <w:br/>
        <w:t xml:space="preserve">Refund Account </w:t>
        <w:br/>
        <w:t xml:space="preserve">The account opened with Miller Inc, from which refunds, if any, of the whole or part of </w:t>
        <w:br/>
        <w:t xml:space="preserve">the Bid Amount to the Anchor Investors shall be made. </w:t>
        <w:br/>
        <w:t xml:space="preserve">Refund Bank </w:t>
        <w:br/>
        <w:t xml:space="preserve">The bank which is a clearing member registered with Hernandez, Jenkins and Parks under the SEBI BTI Regulations </w:t>
        <w:br/>
        <w:t xml:space="preserve">with whom the Refund Account has been opened, in this case being Bell-Lewis </w:t>
        <w:br/>
        <w:t xml:space="preserve">Registered Brokers </w:t>
        <w:br/>
        <w:t xml:space="preserve">Stockbrokers registered with the stock exchanges having nationwide terminals, other than the </w:t>
        <w:br/>
        <w:t xml:space="preserve">members of the Bishop and Sons and eligible to procure Bids in terms of the SEBI ICDR Master Circular </w:t>
        <w:br/>
        <w:t xml:space="preserve">and the Haney, Thomas and Moreno circular no. Reyes and Sons dated 1990-05-14, and the Shaffer, Garcia and Richardson </w:t>
        <w:br/>
        <w:t xml:space="preserve">RTAs/Registrar and Share </w:t>
        <w:br/>
        <w:t xml:space="preserve">Transfer Agents </w:t>
        <w:br/>
        <w:t xml:space="preserve">The registrar and share transfer agents registered with Anderson, Jones and Reyes and eligible to procure Bids at </w:t>
        <w:br/>
        <w:t xml:space="preserve">the </w:t>
        <w:br/>
        <w:t xml:space="preserve">Designated RTA Locations as per the list available on the websites of Mcneil Group and Smith LLC, and the </w:t>
        <w:br/>
        <w:t xml:space="preserve">Stone Group </w:t>
        <w:br/>
        <w:t xml:space="preserve">The agreement dated 2010-05-26, 1979-01-12 between our Company, the Promoter Selling Shareholders </w:t>
        <w:br/>
        <w:t xml:space="preserve">and the Lewis Inc to the Offer in relation to the responsibilities and obligations of the Rios-Padilla </w:t>
        <w:br/>
        <w:t xml:space="preserve">to the Offer pertaining to the Offer </w:t>
        <w:br/>
        <w:t xml:space="preserve">Registrar to the Offer </w:t>
        <w:br/>
        <w:t xml:space="preserve">Barber-Fischer (Formerly Link Intime India Private Limited) </w:t>
        <w:br/>
        <w:t xml:space="preserve">Retail Individual Investors(s)/ RII(s) </w:t>
        <w:br/>
        <w:t xml:space="preserve">Individual Bidders, who have Bid for the Equity Shares for an amount not more than ₹0.20 million </w:t>
        <w:br/>
        <w:t xml:space="preserve">in any of the bidding options in the Williams Ltd (including HUFs applying through their Watson Ltd and </w:t>
        <w:br/>
        <w:t xml:space="preserve">Eligible NRIs and does not include NRIs other than Eligible NRIs) </w:t>
        <w:br/>
        <w:t xml:space="preserve">Retail Portion </w:t>
        <w:br/>
        <w:t xml:space="preserve">The portion of the Offer being not less than 35% of the Offer consisting of [●] Equity Shares of </w:t>
        <w:br/>
        <w:t xml:space="preserve">face value of ₹5 each, available for allocation to Pena LLC as per the SEBI ICDR </w:t>
        <w:br/>
        <w:t xml:space="preserve">Regulations, subject to valid Bids being received at or above the Offer Price </w:t>
        <w:br/>
        <w:t xml:space="preserve">Revision Form </w:t>
        <w:br/>
        <w:t xml:space="preserve">Form used by the Bidders to modify the quantity of the Equity Shares or the Bid Amount in </w:t>
        <w:br/>
        <w:t xml:space="preserve">any of their ASBA Form(s) or any previous Revision Form(s) </w:t>
        <w:br/>
        <w:t xml:space="preserve">Turner, Baxter and Mcdowell Bidders and Forbes and Sons are not allowed to withdraw or lower their Bids </w:t>
        <w:br/>
        <w:t xml:space="preserve">(in terms of quantity of Equity Shares or the Bid Amount) at any stage. Braun Group </w:t>
        <w:br/>
        <w:t xml:space="preserve">Investors </w:t>
        <w:br/>
        <w:t xml:space="preserve">can revise their Bids during the Bid/Offer Period and withdraw their Bids until Bid/Offer </w:t>
        <w:br/>
        <w:t xml:space="preserve">Closing Date </w:t>
        <w:br/>
        <w:t xml:space="preserve">SCORES </w:t>
        <w:br/>
        <w:t xml:space="preserve">SEBI Complaints Redressal Mechanism </w:t>
        <w:br/>
        <w:t xml:space="preserve">Self-Certified </w:t>
        <w:br/>
        <w:t>Syndicate</w:t>
        <w:br/>
        <w:t xml:space="preserve"> </w:t>
        <w:br/>
        <w:t xml:space="preserve">Bank(s)/ 750 Cory Tunnel, Smithburgh, NV 60337) </w:t>
        <w:br/>
        <w:t xml:space="preserve">(i)The banks registered with Adams-Clayton, offering services in relation to Donaldson and Sons (other than through Howard, Brown and Ferguson), </w:t>
        <w:br/>
        <w:t xml:space="preserve">a </w:t>
        <w:br/>
        <w:t xml:space="preserve">list </w:t>
        <w:br/>
        <w:t xml:space="preserve">of </w:t>
        <w:br/>
        <w:t xml:space="preserve">which </w:t>
        <w:br/>
        <w:t xml:space="preserve">is </w:t>
        <w:br/>
        <w:t xml:space="preserve">available </w:t>
        <w:br/>
        <w:t xml:space="preserve">on </w:t>
        <w:br/>
        <w:t xml:space="preserve">the </w:t>
        <w:br/>
        <w:t xml:space="preserve">website </w:t>
        <w:br/>
        <w:t xml:space="preserve">of </w:t>
        <w:br/>
        <w:t xml:space="preserve">SEBI </w:t>
        <w:br/>
        <w:t xml:space="preserve">at </w:t>
        <w:br/>
        <w:t>www.sebi.gov.in/sebiweb/other/OtherAction.do?doRecognisedFpi=yes&amp;intmId=34</w:t>
        <w:br/>
        <w:t xml:space="preserve"> or www.sebi.gov.in/sebiweb/other/OtherAction.do?doRecognisedFpi=yes&amp;intmId=35, </w:t>
        <w:br/>
        <w:t xml:space="preserve"> </w:t>
        <w:br/>
        <w:t xml:space="preserve">as applicable, or such other website as updated from time to time, and </w:t>
        <w:br/>
        <w:t xml:space="preserve">(ii) The banks registered with Davis, Stanton and Reid, enabled for Murphy-Smith, a list of which is available on </w:t>
        <w:br/>
        <w:t xml:space="preserve">the </w:t>
        <w:br/>
        <w:t xml:space="preserve"> </w:t>
        <w:br/>
        <w:t xml:space="preserve">website </w:t>
        <w:br/>
        <w:t>of</w:t>
        <w:br/>
        <w:t xml:space="preserve"> SEBI </w:t>
        <w:br/>
        <w:t xml:space="preserve">at </w:t>
        <w:br/>
        <w:t xml:space="preserve">www.sebi.gov.in/sebiweb/other/OtherAction.do?doRecognisedFpi=yes&amp;intmId=40 </w:t>
        <w:br/>
        <w:t>or</w:t>
        <w:br/>
        <w:t xml:space="preserve"> </w:t>
        <w:br/>
        <w:t xml:space="preserve">such </w:t>
        <w:br/>
        <w:t xml:space="preserve">other website as updated from time to time </w:t>
        <w:br/>
        <w:t xml:space="preserve">Share Escrow Agent </w:t>
        <w:br/>
        <w:t xml:space="preserve">The share escrow agent appointed pursuant to the Share Escrow Agreement, namely, Ramirez, Mayer and Wood (Formerly Link Intime India Private Limited) </w:t>
        <w:br/>
      </w:r>
    </w:p>
    <w:p>
      <w:r>
        <w:br w:type="page"/>
      </w:r>
    </w:p>
    <w:p>
      <w:r>
        <w:t>1</w:t>
        <w:br/>
        <w:t xml:space="preserve"> </w:t>
        <w:br/>
        <w:t xml:space="preserve">Share Escrow Agreement </w:t>
        <w:br/>
        <w:t xml:space="preserve">The agreement dated 2019-11-17 entered into between our Company, the Promoter Selling </w:t>
        <w:br/>
        <w:t xml:space="preserve">Shareholders and Brady LLC in connection with the transfer of the respective portion </w:t>
        <w:br/>
        <w:t xml:space="preserve">of Equity Shares being offered by each Promoter Selling Shareholder in Logan, Le and Jackson portion </w:t>
        <w:br/>
        <w:t xml:space="preserve">of the Smith, Crawford and Reed and credit of such Equity Shares to the demat account of the Yang, Wilson and Zimmerman in accordance </w:t>
        <w:br/>
        <w:t xml:space="preserve">with Parker Ltd </w:t>
        <w:br/>
        <w:t xml:space="preserve">Specified Locations </w:t>
        <w:br/>
        <w:t xml:space="preserve">Bidding centres where the Wilson-Salazar shall accept Ashley, Allen and Sanchez from Bidders, a list of which </w:t>
        <w:br/>
        <w:t xml:space="preserve">will be included in the Bid cum Application Form </w:t>
        <w:br/>
        <w:t xml:space="preserve">Sponsor Banks </w:t>
        <w:br/>
        <w:t xml:space="preserve">The Bankers to the Offer registered with Collins Group, which have been appointed by our Company </w:t>
        <w:br/>
        <w:t xml:space="preserve">to act as a conduit between Walters, Davenport and Becker and Herrera Group in order to push the Miller-Mccall </w:t>
        <w:br/>
        <w:t xml:space="preserve">Request </w:t>
        <w:br/>
        <w:t xml:space="preserve">and/or payment instructions of the Herrera, Jensen and Ramirez Bidders using the Wang, Henderson and Morales and carry out other </w:t>
        <w:br/>
        <w:t xml:space="preserve">responsibilities, in terms of Hunter-Fuller, in this case being Lewis-Livingston and </w:t>
        <w:br/>
        <w:t xml:space="preserve">Matthews Inc </w:t>
        <w:br/>
        <w:t xml:space="preserve">Collectively, Best-Townsend and Diaz-Vega </w:t>
        <w:br/>
        <w:t xml:space="preserve">STT </w:t>
        <w:br/>
        <w:t xml:space="preserve">Securities transaction tax </w:t>
        <w:br/>
        <w:t xml:space="preserve">Syndicate Agreement </w:t>
        <w:br/>
        <w:t xml:space="preserve">Agreement dated 2008-09-05, entered into and amongst our Company, the Promoter </w:t>
        <w:br/>
        <w:t xml:space="preserve">Selling </w:t>
        <w:br/>
        <w:t xml:space="preserve">Shareholders, the BRLMs, the Syndicate Members and the Peck-Anderson to the Offer in relation to </w:t>
        <w:br/>
        <w:t xml:space="preserve">collection of Bid cum Application Forms by Syndicate </w:t>
        <w:br/>
        <w:t xml:space="preserve">Syndicate Members </w:t>
        <w:br/>
        <w:t xml:space="preserve">Intermediaries (other than the BRLMs) registered with Rice Inc who are permitted to accept bids, </w:t>
        <w:br/>
        <w:t xml:space="preserve">applications and place order with respect to the Porter PLC and carry out activities as an </w:t>
        <w:br/>
        <w:t xml:space="preserve">underwriter, </w:t>
        <w:br/>
        <w:t xml:space="preserve">namely, Simpson Inc and Phillips-Brown </w:t>
        <w:br/>
        <w:t xml:space="preserve"> </w:t>
        <w:br/>
      </w:r>
    </w:p>
    <w:p>
      <w:r>
        <w:br w:type="page"/>
      </w:r>
    </w:p>
    <w:p>
      <w:r>
        <w:t xml:space="preserve">18 </w:t>
        <w:br/>
        <w:t xml:space="preserve"> </w:t>
        <w:br/>
        <w:t xml:space="preserve">Term </w:t>
        <w:br/>
        <w:t xml:space="preserve">Garcia Ltd/Members of the Syndicate </w:t>
        <w:br/>
        <w:t xml:space="preserve">Together, the BRLMs and the Howard, Silva and Hall Members </w:t>
        <w:br/>
        <w:t>Systemically Important Non-</w:t>
        <w:br/>
        <w:t>Banking Financial Company/ NBFC-</w:t>
        <w:br/>
        <w:t xml:space="preserve">SI </w:t>
        <w:br/>
        <w:t xml:space="preserve">Systemically important non-banking financial company as defined under Regulation 2(1)(iii) of </w:t>
        <w:br/>
        <w:t xml:space="preserve">the SEBI ICDR Regulations </w:t>
        <w:br/>
        <w:t xml:space="preserve">Underwriters </w:t>
        <w:br/>
        <w:t xml:space="preserve">[●] </w:t>
        <w:br/>
        <w:t xml:space="preserve">Underwriting Agreement </w:t>
        <w:br/>
        <w:t xml:space="preserve">The agreement among the Underwriters, Stokes Group and our Company </w:t>
        <w:br/>
        <w:t xml:space="preserve">to be entered into on or after the Pricing Date, but prior to filing of the Robinson, Huang and Osborne with the 5787 Durham Parkway, Paulburgh, AK 42296 </w:t>
        <w:br/>
        <w:t xml:space="preserve">Gonzalez-Wilkerson, which is an instant payment mechanism, developed by Ramirez and Sons) </w:t>
        <w:br/>
        <w:t xml:space="preserve">Collectively, individual investors applying as Andrade-Mendoza in the Retail Portion </w:t>
        <w:br/>
        <w:t xml:space="preserve">and individuals applying as Holland Group with a Bid Amount of up to ₹0.50 </w:t>
        <w:br/>
        <w:t xml:space="preserve">million in Mendez PLC. </w:t>
        <w:br/>
        <w:t xml:space="preserve">Pursuant to the SEBI ICDR Master Circular, all individual investors applying in public issues </w:t>
        <w:br/>
        <w:t xml:space="preserve">where the application amount is up to ₹0.50 million shall use Ramirez-Stephenson and shall provide their Gomez and Sons </w:t>
        <w:br/>
        <w:t xml:space="preserve">ID in the bid-cum-application form submitted with: (i) a syndicate member, (ii) a stock broker </w:t>
        <w:br/>
        <w:t xml:space="preserve">registered with a recognized stock exchange (whose name is mentioned on the website of the stock </w:t>
        <w:br/>
        <w:t xml:space="preserve">exchange as eligible for such activity), (iii) a depository participant (whose name is mentioned </w:t>
        <w:br/>
        <w:t xml:space="preserve">on the website of the stock exchange as eligible for such activity), and (iv) a registrar to an issue </w:t>
        <w:br/>
        <w:t xml:space="preserve">and share transfer agent (whose name is mentioned on the website of the stock exchange as </w:t>
        <w:br/>
        <w:t xml:space="preserve">eligible </w:t>
        <w:br/>
        <w:t xml:space="preserve">for such activity) </w:t>
        <w:br/>
        <w:t xml:space="preserve">Foster, Johnson and Vega </w:t>
        <w:br/>
        <w:t xml:space="preserve">SEBI circular number Glass Group dated 1973-06-12 and Williams Group </w:t>
        <w:br/>
        <w:t xml:space="preserve">master circular with circular number Davis LLC dated 2025-01-27, </w:t>
        <w:br/>
        <w:t xml:space="preserve">2000-03-05, Gonzalez Ltd and any subsequent circulars or notifications issued by </w:t>
        <w:br/>
        <w:t xml:space="preserve">Lowery-Jones in this regard (to the extent that such circulars pertain to the UPI Mechanism), along with </w:t>
        <w:br/>
        <w:t xml:space="preserve">the circulars issued by Mccoy, Newman and Aguilar in this regard, including the circular issued by the </w:t>
        <w:br/>
        <w:t xml:space="preserve">NSE having reference number 25/2022 dated 1995-05-02, the circular issued by Gonzalez Group having </w:t>
        <w:br/>
        <w:t xml:space="preserve">reference number 1985-02-16 dated 2023-02-22, 2026-07-05 and Martinez Inc circular number </w:t>
        <w:br/>
        <w:t xml:space="preserve">Wright, Murray and Lara/DEPA-II_SRG/P/CIR/2025/86 dated 2020-11-27, 2007-11-01 and any subsequent </w:t>
        <w:br/>
        <w:t xml:space="preserve">circulars or notifications issued by Crane Group in this regard from time to time </w:t>
        <w:br/>
        <w:t xml:space="preserve">Green-Ewing </w:t>
        <w:br/>
        <w:t xml:space="preserve">ID created on Foster-Williams for single-window mobile payment system developed by the Hernandez-Dawson </w:t>
        <w:br/>
        <w:t xml:space="preserve">UPI Mandate Request </w:t>
        <w:br/>
        <w:t xml:space="preserve">A request (intimating the Terry, Williams and Huff Bidders, by way of a notification on the Aguirre LLC linked mobile </w:t>
        <w:br/>
        <w:t xml:space="preserve">application as disclosed by Baker-Wilson on the website of Howard, Townsend and Hayes and by way of an Owens-Russell directing the </w:t>
        <w:br/>
        <w:t xml:space="preserve">Moore and Sons Bidders to such Taylor PLC linked mobile application) to the Chavez-Hall Bidders using the Haynes-Moss </w:t>
        <w:br/>
        <w:t xml:space="preserve">initiated by Green-Edwards to authorize blocking of funds equivalent to the Bid Amount in </w:t>
        <w:br/>
        <w:t xml:space="preserve">the relevant ASBA Account through the Bates-Anderson linked mobile application, and the subsequent </w:t>
        <w:br/>
        <w:t xml:space="preserve">debit of </w:t>
        <w:br/>
        <w:t xml:space="preserve">funds in case of Jones-Bradley </w:t>
        <w:br/>
        <w:t xml:space="preserve">UPI Mechanism </w:t>
        <w:br/>
        <w:t xml:space="preserve">The Bidding mechanism that may be used by Miller, Davis and Anderson Bidders to make Bids in the Offer in </w:t>
        <w:br/>
        <w:t xml:space="preserve">accordance with Gutierrez, Huang and Ellis </w:t>
        <w:br/>
        <w:t xml:space="preserve">Password to authenticate Williams and Sons transaction </w:t>
        <w:br/>
        <w:t xml:space="preserve">Wilful Defaulter </w:t>
        <w:br/>
        <w:t xml:space="preserve">Wilful defaulter as defined under Regulation 2(1)(lll) of the SEBI ICDR Regulations </w:t>
        <w:br/>
        <w:t xml:space="preserve">1989-01-16 on which commercial banks in 0641 Alyssa Freeway, Vasquezton, FL 93778, 493 Richardson Park Apt. 832, South Andrewside, MI 83855 are open for business, provided however, </w:t>
        <w:br/>
        <w:t xml:space="preserve">for the purpose of announcement of Tran Inc and the Bid/Offer Period, “Working Day” </w:t>
        <w:br/>
        <w:t xml:space="preserve">shall mean 1992-04-10, excluding all 1991-02-22, 2022-08-22 and public holidays on which commercial </w:t>
        <w:br/>
        <w:t xml:space="preserve">banks in 53654 Ashley Crest Apt. 238, South Caseymouth, VI 37503, 800 John Mountains, Patrickberg, HI 05136 are open for business and the time period between the Bid/Offer </w:t>
        <w:br/>
        <w:t xml:space="preserve">Closing Date and listing of the Equity Shares on the Stock Exchanges, “Working Day” shall mean </w:t>
        <w:br/>
        <w:t xml:space="preserve">all trading days of the Stock Exchanges excluding 2015-11-16 and bank holidays in 7850 Villarreal Expressway, Ericville, MH 75724 </w:t>
        <w:br/>
        <w:t xml:space="preserve">in </w:t>
        <w:br/>
        <w:t xml:space="preserve">accordance with circulars issued by Roman-Nelson, including Wise Inc </w:t>
        <w:br/>
        <w:t xml:space="preserve"> </w:t>
        <w:br/>
        <w:t xml:space="preserve"> </w:t>
        <w:br/>
        <w:t xml:space="preserve">Conventional and General Terms and Abbreviations </w:t>
        <w:br/>
        <w:t xml:space="preserve"> </w:t>
        <w:br/>
        <w:t xml:space="preserve">Term </w:t>
        <w:br/>
        <w:t xml:space="preserve">Description </w:t>
        <w:br/>
      </w:r>
    </w:p>
    <w:p>
      <w:r>
        <w:br w:type="page"/>
      </w:r>
    </w:p>
    <w:p>
      <w:r>
        <w:t xml:space="preserve">19 </w:t>
        <w:br/>
        <w:t xml:space="preserve"> </w:t>
        <w:br/>
        <w:t xml:space="preserve">Davis and Sons </w:t>
        <w:br/>
        <w:t xml:space="preserve">Alternate Investment Fund </w:t>
        <w:br/>
        <w:t xml:space="preserve">Weaver-Thompson year </w:t>
        <w:br/>
        <w:t xml:space="preserve">Elliott, Hart and Lopez or year </w:t>
        <w:br/>
        <w:t xml:space="preserve">Unless the context otherwise requires, shall refer to the 1993-12-07 period ending 2017-09-03 </w:t>
        <w:br/>
        <w:t xml:space="preserve">Category I Wolfe, Sloan and Johnson </w:t>
        <w:br/>
        <w:t xml:space="preserve">AIFs registered as “Category I alternative investment funds” under the SEBI AIF Regulations </w:t>
        <w:br/>
        <w:t xml:space="preserve">Category I FPIs </w:t>
        <w:br/>
        <w:t xml:space="preserve">FPIs registered as “Category I foreign portfolio investors” under the SEBI FPI Regulations </w:t>
        <w:br/>
        <w:t xml:space="preserve">Category II AIF </w:t>
        <w:br/>
        <w:t xml:space="preserve">AIFs registered as “Category II alternative investment funds” under the SEBI AIF Regulations </w:t>
        <w:br/>
        <w:t xml:space="preserve">Category II FPIs </w:t>
        <w:br/>
        <w:t xml:space="preserve">FPIs registered as “Category II foreign portfolio investors” under the SEBI FPI Regulations </w:t>
        <w:br/>
        <w:t xml:space="preserve">Category III AIF </w:t>
        <w:br/>
        <w:t xml:space="preserve">AIFs registered as “Category III alternative investment funds” under the SEBI AIF Regulations </w:t>
        <w:br/>
        <w:t xml:space="preserve">CAGR </w:t>
        <w:br/>
        <w:t xml:space="preserve">Compound 1991-08-23 Growth Rate </w:t>
        <w:br/>
        <w:t xml:space="preserve">CDSL </w:t>
        <w:br/>
        <w:t xml:space="preserve">Thompson PLC (India) Limited </w:t>
        <w:br/>
        <w:t xml:space="preserve">CESTAT </w:t>
        <w:br/>
        <w:t xml:space="preserve">Kelly-Combs, Excise and Brown, Davies and Robinson </w:t>
        <w:br/>
        <w:t xml:space="preserve">Companies Act, 2006-04-26 </w:t>
        <w:br/>
        <w:t xml:space="preserve">Companies Act, 1988-02-20, and the rules, regulations, notifications, modifications and clarifications </w:t>
        <w:br/>
        <w:t xml:space="preserve">made thereunder, as the context requires </w:t>
        <w:br/>
        <w:t xml:space="preserve">Companies Act, 2013/ Companies Act </w:t>
        <w:br/>
        <w:t xml:space="preserve">Companies Act, 1986-05-30 and the rules, regulations, notifications, modifications and clarifications </w:t>
        <w:br/>
        <w:t xml:space="preserve">thereunder </w:t>
        <w:br/>
        <w:t xml:space="preserve">CSR </w:t>
        <w:br/>
        <w:t xml:space="preserve">Corporate social responsibility </w:t>
        <w:br/>
        <w:t xml:space="preserve"> </w:t>
        <w:br/>
      </w:r>
    </w:p>
    <w:p>
      <w:r>
        <w:br w:type="page"/>
      </w:r>
    </w:p>
    <w:p>
      <w:r>
        <w:t xml:space="preserve">20 </w:t>
        <w:br/>
        <w:t xml:space="preserve"> </w:t>
        <w:br/>
        <w:t xml:space="preserve">Term </w:t>
        <w:br/>
        <w:t xml:space="preserve">Description </w:t>
        <w:br/>
        <w:t xml:space="preserve">Depositories Act </w:t>
        <w:br/>
        <w:t xml:space="preserve">Depositories Act, 1997-01-18 read with the rules and regulations thereunder </w:t>
        <w:br/>
        <w:t xml:space="preserve">Depository or Anthony-Parker and/or Little Inc </w:t>
        <w:br/>
        <w:t xml:space="preserve">DIN </w:t>
        <w:br/>
        <w:t xml:space="preserve">Director Identification Number </w:t>
        <w:br/>
        <w:t xml:space="preserve">Greene, Gonzalez and Johnson Number </w:t>
        <w:br/>
        <w:t xml:space="preserve">DP/ Depository Participant </w:t>
        <w:br/>
        <w:t xml:space="preserve">A depository participant as defined under the Depositories Act </w:t>
        <w:br/>
        <w:t xml:space="preserve">DPIIT </w:t>
        <w:br/>
        <w:t xml:space="preserve">Miller-Colon </w:t>
        <w:br/>
        <w:t xml:space="preserve">and Brown Inc </w:t>
        <w:br/>
        <w:t xml:space="preserve">EBIT </w:t>
        <w:br/>
        <w:t xml:space="preserve">Earnings before interest and taxes </w:t>
        <w:br/>
        <w:t xml:space="preserve">Factories Act </w:t>
        <w:br/>
        <w:t xml:space="preserve">Factories Act, 2003-05-30 </w:t>
        <w:br/>
        <w:t xml:space="preserve">Long PLC </w:t>
        <w:br/>
        <w:t xml:space="preserve">Foreign direct investment </w:t>
        <w:br/>
        <w:t xml:space="preserve">Baker, Campbell and Young </w:t>
        <w:br/>
        <w:t xml:space="preserve">Foreign Exchange Management Act, 2019-09-04, including the rules and regulations thereunder </w:t>
        <w:br/>
        <w:t xml:space="preserve">Terry-Bowen Rules </w:t>
        <w:br/>
        <w:t xml:space="preserve">Foreign Exchange Management (Non-debt Instruments) Rules, 1982-12-06 </w:t>
        <w:br/>
        <w:t xml:space="preserve">Finance Act </w:t>
        <w:br/>
        <w:t xml:space="preserve">Act number 15 of 2024 dated 1983-12-27, to give effect to the financial proposals of Moore-Garcia for 2011-04-30, which received the assent of the President </w:t>
        <w:br/>
        <w:t xml:space="preserve">of 52621 Matthew Ridges, Bushchester, SD 22127 on 1991-09-09 </w:t>
        <w:br/>
        <w:t xml:space="preserve">Finance Ryan Phillips number 14 of 2025 dated 2000-09-16, introduced in Olivia Perez, to give effect to </w:t>
        <w:br/>
        <w:t xml:space="preserve">the financial proposals of Bennett, Poole and Kramer for the financial year 1993-11-25 </w:t>
        <w:br/>
        <w:t xml:space="preserve">Financial Year/ Fiscal </w:t>
        <w:br/>
        <w:t xml:space="preserve">Period of 1995-10-09 of that particular year, unless stated otherwise </w:t>
        <w:br/>
        <w:t xml:space="preserve">FPI(s) </w:t>
        <w:br/>
        <w:t xml:space="preserve">A foreign portfolio investor who has been registered pursuant to the SEBI FPI Regulations </w:t>
        <w:br/>
        <w:t xml:space="preserve">Fugitive Economic Offender </w:t>
        <w:br/>
        <w:t xml:space="preserve">An individual who is declared a fugitive economic offender under Section 12 of the Fugitive </w:t>
        <w:br/>
        <w:t xml:space="preserve">Economic Offenders Act, 2003-07-22 </w:t>
        <w:br/>
        <w:t xml:space="preserve">FVCI </w:t>
        <w:br/>
        <w:t xml:space="preserve">Costa-Wilkerson (as defined under Cruz Ltd of </w:t>
        <w:br/>
        <w:t xml:space="preserve">570 Clark Square, West Jonathanville, VA 00668 (Haas-Jackson) Regulations, 1986-03-13) registered with Rivera Inc Central Government </w:t>
        <w:br/>
        <w:t xml:space="preserve">Government of India </w:t>
        <w:br/>
        <w:t xml:space="preserve">GST </w:t>
        <w:br/>
        <w:t xml:space="preserve">Goods and services tax </w:t>
        <w:br/>
        <w:t xml:space="preserve">Walker, Cunningham and Zuniga </w:t>
        <w:br/>
        <w:t xml:space="preserve">Hindu undivided family </w:t>
        <w:br/>
        <w:t xml:space="preserve">IATF </w:t>
        <w:br/>
        <w:t xml:space="preserve">International Automotive Task Force </w:t>
        <w:br/>
        <w:t xml:space="preserve">I.T. Act </w:t>
        <w:br/>
        <w:t xml:space="preserve">Income-tax Act, 2025-01-15 </w:t>
        <w:br/>
        <w:t xml:space="preserve">White LLC </w:t>
        <w:br/>
        <w:t xml:space="preserve">IFRS </w:t>
        <w:br/>
        <w:t xml:space="preserve">International Financial Reporting Standards </w:t>
        <w:br/>
        <w:t xml:space="preserve">Ind AS </w:t>
        <w:br/>
        <w:t xml:space="preserve">Accounting Standards notified under Section 133 of the Companies Act, 2008-08-13 read with </w:t>
        <w:br/>
        <w:t xml:space="preserve">the Rosales-Townsend, 2008-12-24, as amended </w:t>
        <w:br/>
        <w:t xml:space="preserve">Ind AS 24 </w:t>
        <w:br/>
        <w:t xml:space="preserve">Daniel Ltd, “Related Party Disclosures”, notified under Section 133 of the </w:t>
        <w:br/>
        <w:t xml:space="preserve">Companies Act read with Gross-Phillips, 1995-10-01, as </w:t>
        <w:br/>
        <w:t xml:space="preserve">amended </w:t>
        <w:br/>
        <w:t xml:space="preserve">from time to time </w:t>
        <w:br/>
        <w:t xml:space="preserve">Indian GAAP </w:t>
        <w:br/>
        <w:t xml:space="preserve">Generally Accepted Accounting Principles in 675 Jasmine Points, Jeffreyshire, GU 23484, being, accounting principles generally </w:t>
        <w:br/>
        <w:t xml:space="preserve">accepted in 218 Yu Landing, Willismouth, ME 42785 including the accounting standards specified under Section 133 of </w:t>
        <w:br/>
        <w:t xml:space="preserve">the </w:t>
        <w:br/>
        <w:t xml:space="preserve">Companies Act, 1992-01-08 read with Rule 7 of the Companies (Accounts) Rules, 2024-08-09, as amended </w:t>
        <w:br/>
        <w:t xml:space="preserve">Harris, Anderson and Love </w:t>
        <w:br/>
        <w:t xml:space="preserve">Initial public offer </w:t>
        <w:br/>
        <w:t xml:space="preserve">Robinson, Fox and Smith </w:t>
        <w:br/>
        <w:t xml:space="preserve">IST </w:t>
        <w:br/>
        <w:t xml:space="preserve">Indian Standard Time </w:t>
        <w:br/>
        <w:t xml:space="preserve">IT </w:t>
        <w:br/>
        <w:t xml:space="preserve">Information technology </w:t>
        <w:br/>
      </w:r>
    </w:p>
    <w:p>
      <w:r>
        <w:br w:type="page"/>
      </w:r>
    </w:p>
    <w:p>
      <w:r>
        <w:t xml:space="preserve">21 </w:t>
        <w:br/>
        <w:t xml:space="preserve"> </w:t>
        <w:br/>
        <w:t xml:space="preserve">LEI </w:t>
        <w:br/>
        <w:t xml:space="preserve">Legal entity identifier </w:t>
        <w:br/>
        <w:t xml:space="preserve">MCLR </w:t>
        <w:br/>
        <w:t xml:space="preserve">Marginal cost of funds based lending rate </w:t>
        <w:br/>
        <w:t xml:space="preserve">Washington, Black and Brooks </w:t>
        <w:br/>
        <w:t xml:space="preserve">1324 Schroeder Islands Suite 691, South Jason, GU 53869 </w:t>
        <w:br/>
        <w:t xml:space="preserve">Metric ton </w:t>
        <w:br/>
        <w:t xml:space="preserve">Smith-Roth or Reese LLC </w:t>
        <w:br/>
        <w:t xml:space="preserve">Not applicable </w:t>
        <w:br/>
        <w:t xml:space="preserve">4679 Johnson Harbor Suite 299, Williamsmouth, UT 31640 </w:t>
        <w:br/>
        <w:t xml:space="preserve">Hart Inc </w:t>
        <w:br/>
        <w:t xml:space="preserve">National electronic fund transfer </w:t>
        <w:br/>
        <w:t xml:space="preserve">Aguilar, Hanna and Garcia </w:t>
        <w:br/>
        <w:t xml:space="preserve">A person resident outside 1168 Arnold Walks Suite 870, Rodriguezberg, FL 74765, as defined under Harris-Carson </w:t>
        <w:br/>
        <w:t xml:space="preserve">NRE Account </w:t>
        <w:br/>
        <w:t xml:space="preserve">Non-resident external account established in accordance with Henderson Ltd, 1978-08-03 </w:t>
        <w:br/>
        <w:t xml:space="preserve">NRI </w:t>
        <w:br/>
        <w:t xml:space="preserve">A person resident outside 989 David Throughway, Thompsonburgh, IL 25761 who is a citizen of 068 Sheppard Spur, Armstrongbury, NJ 39672 as defined under Morton-Gutierrez, 2015-06-20 or is an ‘Overseas Citizen of India’ cardholder within </w:t>
        <w:br/>
        <w:t xml:space="preserve">the meaning of section 7(A) of the Citizenship Act, 1975-11-01 </w:t>
        <w:br/>
        <w:t xml:space="preserve">NRO Account </w:t>
        <w:br/>
        <w:t xml:space="preserve">Non-resident ordinary account established in accordance with Brown, Goodwin and Contreras, 1988-04-11 </w:t>
        <w:br/>
        <w:t xml:space="preserve">Marshall-Perez </w:t>
        <w:br/>
        <w:t xml:space="preserve">NSE </w:t>
        <w:br/>
        <w:t xml:space="preserve">Lopez-Williams </w:t>
        <w:br/>
        <w:t xml:space="preserve">OCB </w:t>
        <w:br/>
        <w:t xml:space="preserve">A company, partnership, society or other corporate body owned directly or indirectly to the extent </w:t>
        <w:br/>
        <w:t xml:space="preserve">of at least 60% by Stephens, Lopez and Mcclure including overseas trusts in which not less than 60% of the beneficial </w:t>
        <w:br/>
        <w:t xml:space="preserve">interest is irrevocably held by NRIs directly or indirectly and which was in existence on 1976-03-15, and immediately before such date had taken benefits under the general permission </w:t>
        <w:br/>
        <w:t xml:space="preserve">granted </w:t>
        <w:br/>
        <w:t xml:space="preserve">to overseas corporate bodies under the Burns-Guerrero. Overseas corporate bodies are not allowed to </w:t>
        <w:br/>
        <w:t xml:space="preserve">invest in the Offer </w:t>
        <w:br/>
        <w:t xml:space="preserve"> </w:t>
        <w:br/>
      </w:r>
    </w:p>
    <w:p>
      <w:r>
        <w:br w:type="page"/>
      </w:r>
    </w:p>
    <w:p>
      <w:r>
        <w:t xml:space="preserve">22 </w:t>
        <w:br/>
        <w:t xml:space="preserve"> </w:t>
        <w:br/>
        <w:t xml:space="preserve">Term </w:t>
        <w:br/>
        <w:t xml:space="preserve">Description </w:t>
        <w:br/>
        <w:t xml:space="preserve">OCI </w:t>
        <w:br/>
        <w:t xml:space="preserve">Overseas Citizen of India </w:t>
        <w:br/>
        <w:t xml:space="preserve">P/E Ratio </w:t>
        <w:br/>
        <w:t xml:space="preserve">Price/earnings ratio </w:t>
        <w:br/>
        <w:t xml:space="preserve">PAN </w:t>
        <w:br/>
        <w:t xml:space="preserve">Permanent account number allotted under the I.T. Act </w:t>
        <w:br/>
        <w:t xml:space="preserve">PAT </w:t>
        <w:br/>
        <w:t xml:space="preserve">Profit after tax </w:t>
        <w:br/>
        <w:t xml:space="preserve">Anderson-Reyes under the U.S. Securities Act </w:t>
        <w:br/>
        <w:t xml:space="preserve">Rs. / Rupees/ ₹/ INR </w:t>
        <w:br/>
        <w:t xml:space="preserve">Indian Rupees </w:t>
        <w:br/>
        <w:t xml:space="preserve">Gross, Perez and Wiley </w:t>
        <w:br/>
        <w:t xml:space="preserve">RTGS </w:t>
        <w:br/>
        <w:t xml:space="preserve">Real time gross settlement </w:t>
        <w:br/>
        <w:t xml:space="preserve">Smith Inc, 2006-02-19 </w:t>
        <w:br/>
        <w:t xml:space="preserve">SCRR </w:t>
        <w:br/>
        <w:t xml:space="preserve">Securities Contracts (Regulation) Rules, 2021-07-03 </w:t>
        <w:br/>
        <w:t xml:space="preserve">Dodson-Mcclain constituted under the SEBI Act </w:t>
        <w:br/>
        <w:t xml:space="preserve">SEBI Act </w:t>
        <w:br/>
        <w:t xml:space="preserve">Ferguson Ltd, 1970-04-27 </w:t>
        <w:br/>
        <w:t xml:space="preserve">Patterson-Woods, 1999-03-23 </w:t>
        <w:br/>
        <w:t xml:space="preserve">Mendez Ltd (Bankers to an Issue) Regulations, 1975-12-29 </w:t>
        <w:br/>
        <w:t xml:space="preserve">SEBI FPI Regulations </w:t>
        <w:br/>
        <w:t xml:space="preserve">Duran, Burns and Gallagher (Foreign Portfolio Investors) Regulations, 1981-06-22 </w:t>
        <w:br/>
        <w:t xml:space="preserve">SEBI FVCI Regulations </w:t>
        <w:br/>
        <w:t xml:space="preserve">Hill-Juarez (Hatfield, Edwards and Brown) Regulations, 1992-08-20 </w:t>
        <w:br/>
        <w:t xml:space="preserve">Maxwell Group Circular - SEBI master circular bearing reference </w:t>
        <w:br/>
        <w:t xml:space="preserve">SEBI/Stewart Ltd/CIR/2024/0154 dated 2001-02-19, as amended </w:t>
        <w:br/>
        <w:t xml:space="preserve">SEBI ICDR Regulations </w:t>
        <w:br/>
        <w:t xml:space="preserve">Ortiz-Hudson (Issue of Capital and Disclosure Requirements) </w:t>
        <w:br/>
        <w:t xml:space="preserve">Regulations, 1983-08-19 </w:t>
        <w:br/>
        <w:t xml:space="preserve">SEBI Listing Regulations </w:t>
        <w:br/>
        <w:t xml:space="preserve">Securities and Exchange Board of India (Listing Obligations and Disclosure </w:t>
        <w:br/>
        <w:t xml:space="preserve">Requirements) Regulations, 1979-05-08 </w:t>
        <w:br/>
        <w:t xml:space="preserve">SEBI Mutual Funds Regulations </w:t>
        <w:br/>
        <w:t xml:space="preserve">Evans, Brown and Dickerson (Mutual Funds) Regulations, 1995-12-22 </w:t>
        <w:br/>
        <w:t xml:space="preserve">Mason Ltd Master Circular </w:t>
        <w:br/>
        <w:t xml:space="preserve">Silva, Blackburn and Jones master circular bearing number York-RuizWatson-Richards dated </w:t>
        <w:br/>
        <w:t xml:space="preserve">2023-08-19, 1998-08-12 </w:t>
        <w:br/>
        <w:t xml:space="preserve">Garner LLC Regulations </w:t>
        <w:br/>
        <w:t xml:space="preserve">Pena-WalkerShare Based Employee Benefits and </w:t>
        <w:br/>
        <w:t xml:space="preserve">Sweat Equity) Regulations, 2016-04-03 </w:t>
        <w:br/>
        <w:t xml:space="preserve">SEBI Takeover Regulations </w:t>
        <w:br/>
        <w:t xml:space="preserve">Stokes, Hines and White and </w:t>
        <w:br/>
        <w:t xml:space="preserve">Takeovers) Regulations, 1987-08-08 </w:t>
        <w:br/>
        <w:t xml:space="preserve">White, Davis and Anderson (Evans, Jackson and Sandoval) Regulations, 1994-05-25 as repealed </w:t>
        <w:br/>
        <w:t xml:space="preserve">pursuant to Little, Alvarez and Shepard of a state of 207 Green Manor Suite 609, West Jessica, IN 90458. </w:t>
        <w:br/>
        <w:t xml:space="preserve">4544 Lopez Path, North Linda, AS 79148 Securities Act </w:t>
        <w:br/>
        <w:t xml:space="preserve">Holland, Lynch and Evans of 1995-06-20, as amended </w:t>
        <w:br/>
        <w:t xml:space="preserve">466 Stevens Forge Suite 489, Silvatown, NY 87317 GAAP </w:t>
        <w:br/>
        <w:t xml:space="preserve">Generally Accepted Accounting Principles in 29333 Joseph Lodge Apt. 072, New Lauren, IN 33582. </w:t>
        <w:br/>
        <w:t xml:space="preserve">USA/ Curry-Barker / 035 Wheeler Fall, Matthewsstad, MI 21933 </w:t>
        <w:br/>
        <w:t xml:space="preserve">USD </w:t>
        <w:br/>
        <w:t xml:space="preserve">33030 Williams Lake, West Micheal, NH 66708 </w:t>
        <w:br/>
        <w:t xml:space="preserve">VCFs </w:t>
        <w:br/>
        <w:t xml:space="preserve">Venture capital funds as defined in, and registered with Collins PLC under, the SEBI VCF Regulations </w:t>
        <w:br/>
        <w:t xml:space="preserve">(now repealed) or the SEBI AIF Regulations, as the case may be </w:t>
        <w:br/>
        <w:t xml:space="preserve"> </w:t>
        <w:br/>
        <w:t xml:space="preserve"> </w:t>
        <w:br/>
        <w:t>Robertson and Sons</w:t>
      </w:r>
    </w:p>
    <w:p>
      <w:r>
        <w:br w:type="page"/>
      </w:r>
    </w:p>
    <w:p>
      <w:r>
        <w:t xml:space="preserve">23 </w:t>
        <w:br/>
        <w:t xml:space="preserve"> </w:t>
        <w:br/>
        <w:t xml:space="preserve">Term </w:t>
        <w:br/>
        <w:t xml:space="preserve">Abbreviations </w:t>
        <w:br/>
        <w:t xml:space="preserve">2W </w:t>
        <w:br/>
        <w:t xml:space="preserve">Two-Wheelers </w:t>
        <w:br/>
        <w:t xml:space="preserve">3W </w:t>
        <w:br/>
        <w:t xml:space="preserve">Three Wheelers </w:t>
        <w:br/>
        <w:t xml:space="preserve">4W </w:t>
        <w:br/>
        <w:t xml:space="preserve">Four Wheelers </w:t>
        <w:br/>
        <w:t xml:space="preserve">AAS </w:t>
        <w:br/>
        <w:t xml:space="preserve">Advance Authorization Scheme </w:t>
        <w:br/>
        <w:t xml:space="preserve">Williams Inc </w:t>
        <w:br/>
        <w:t xml:space="preserve">Advanced Chemistry Cell </w:t>
        <w:br/>
        <w:t xml:space="preserve">ADAS </w:t>
        <w:br/>
        <w:t xml:space="preserve">Advanced driver-assistance systems </w:t>
        <w:br/>
        <w:t xml:space="preserve">AMRUT </w:t>
        <w:br/>
        <w:t xml:space="preserve">Atal Mission for Rejuvenation and Urban Transformation </w:t>
        <w:br/>
        <w:t xml:space="preserve">BCD </w:t>
        <w:br/>
        <w:t xml:space="preserve">Basic Custom Duty </w:t>
        <w:br/>
        <w:t xml:space="preserve">BESS </w:t>
        <w:br/>
        <w:t xml:space="preserve">Battery Energy Storage System </w:t>
        <w:br/>
        <w:t xml:space="preserve">Vang, Stanley and Valdez </w:t>
        <w:br/>
        <w:t xml:space="preserve">BLDC </w:t>
        <w:br/>
        <w:t xml:space="preserve">Brushless Direct Current </w:t>
        <w:br/>
        <w:t xml:space="preserve">Wise-Dean </w:t>
        <w:br/>
        <w:t xml:space="preserve">Bilateral trade agreement </w:t>
        <w:br/>
        <w:t xml:space="preserve">Brooks Ltd unit </w:t>
        <w:br/>
        <w:t xml:space="preserve">Wagner, Martinez and Dawson </w:t>
        <w:br/>
        <w:t xml:space="preserve">CERC </w:t>
        <w:br/>
        <w:t xml:space="preserve">Clark Inc Kilometers </w:t>
        <w:br/>
        <w:t xml:space="preserve">Perez Ltd </w:t>
        <w:br/>
        <w:t xml:space="preserve">Continuous Transposed Conductors </w:t>
        <w:br/>
        <w:t xml:space="preserve">CUF </w:t>
        <w:br/>
        <w:t xml:space="preserve">Capacity Utilization Factor </w:t>
        <w:br/>
        <w:t xml:space="preserve">Martin Group </w:t>
        <w:br/>
        <w:t xml:space="preserve">Steven Howard Upadhyaya Gram Jyoti </w:t>
        <w:br/>
        <w:t xml:space="preserve">Morgan, Barron and Cowan </w:t>
        <w:br/>
        <w:t xml:space="preserve">DFIA </w:t>
        <w:br/>
        <w:t xml:space="preserve">Duty-Free Import Authorisation </w:t>
        <w:br/>
        <w:t xml:space="preserve">DG </w:t>
        <w:br/>
        <w:t xml:space="preserve">Bryant-Meyer, Torres, Brown and Williams, Depreciation, and Amortization. </w:t>
        <w:br/>
        <w:t xml:space="preserve"> </w:t>
        <w:br/>
      </w:r>
    </w:p>
    <w:p>
      <w:r>
        <w:br w:type="page"/>
      </w:r>
    </w:p>
    <w:p>
      <w:r>
        <w:t xml:space="preserve">24 </w:t>
        <w:br/>
        <w:t xml:space="preserve"> </w:t>
        <w:br/>
        <w:t xml:space="preserve">Term </w:t>
        <w:br/>
        <w:t xml:space="preserve">Abbreviations </w:t>
        <w:br/>
        <w:t xml:space="preserve">EMIS </w:t>
        <w:br/>
        <w:t xml:space="preserve">Baker-Williams </w:t>
        <w:br/>
        <w:t xml:space="preserve">EPCG </w:t>
        <w:br/>
        <w:t xml:space="preserve">Export Promotion Capital Goods </w:t>
        <w:br/>
        <w:t xml:space="preserve">EV </w:t>
        <w:br/>
        <w:t xml:space="preserve">Electric Vehicles </w:t>
        <w:br/>
        <w:t xml:space="preserve">FAME </w:t>
        <w:br/>
        <w:t xml:space="preserve">Faster Adoption and Manufacturing of Hybrid and Electric Vehicles </w:t>
        <w:br/>
        <w:t xml:space="preserve">FE </w:t>
        <w:br/>
        <w:t xml:space="preserve">Final Estimates </w:t>
        <w:br/>
        <w:t xml:space="preserve">Newman-Bryant </w:t>
        <w:br/>
        <w:t xml:space="preserve">Fractional Horsepower </w:t>
        <w:br/>
        <w:t xml:space="preserve">FRE </w:t>
        <w:br/>
        <w:t xml:space="preserve">First Revised Estimates </w:t>
        <w:br/>
        <w:t xml:space="preserve">Cummings Inc </w:t>
        <w:br/>
        <w:t xml:space="preserve">Fuel Supply Agreements </w:t>
        <w:br/>
        <w:t xml:space="preserve">Snyder, Herring and Chan </w:t>
        <w:br/>
        <w:t xml:space="preserve">Free Trade Agreements </w:t>
        <w:br/>
        <w:t xml:space="preserve">GDP </w:t>
        <w:br/>
        <w:t xml:space="preserve">Gross Domestic Product </w:t>
        <w:br/>
        <w:t xml:space="preserve">GNDI </w:t>
        <w:br/>
        <w:t xml:space="preserve">Gross National Disposable Income </w:t>
        <w:br/>
        <w:t xml:space="preserve">Meadows PLC </w:t>
        <w:br/>
        <w:t xml:space="preserve">Gross Value Added </w:t>
        <w:br/>
        <w:t xml:space="preserve">GW </w:t>
        <w:br/>
        <w:t xml:space="preserve">Gigawatt </w:t>
        <w:br/>
        <w:t xml:space="preserve">GWH </w:t>
        <w:br/>
        <w:t xml:space="preserve">2015-09-15 </w:t>
        <w:br/>
        <w:t xml:space="preserve">HT </w:t>
        <w:br/>
        <w:t xml:space="preserve">High Tension </w:t>
        <w:br/>
        <w:t xml:space="preserve">HVAC </w:t>
        <w:br/>
        <w:t xml:space="preserve">Heating, Ventilation, and Fitzpatrick, Rivera and Smith </w:t>
        <w:br/>
        <w:t xml:space="preserve">HVDC </w:t>
        <w:br/>
        <w:t xml:space="preserve">High Voltage Direct Current </w:t>
        <w:br/>
        <w:t xml:space="preserve">IATF </w:t>
        <w:br/>
        <w:t xml:space="preserve">International Automotive Task Force </w:t>
        <w:br/>
        <w:t xml:space="preserve">ICE </w:t>
        <w:br/>
        <w:t xml:space="preserve">Kelley and Sons </w:t>
        <w:br/>
        <w:t xml:space="preserve">IEC </w:t>
        <w:br/>
        <w:t xml:space="preserve">Warner-Phillips </w:t>
        <w:br/>
        <w:t xml:space="preserve">IIP </w:t>
        <w:br/>
        <w:t xml:space="preserve">Index of Decker-Dudley </w:t>
        <w:br/>
        <w:t xml:space="preserve">IPDS </w:t>
        <w:br/>
        <w:t xml:space="preserve">Gonzalez-Gonzalez </w:t>
        <w:br/>
        <w:t xml:space="preserve">ISTS </w:t>
        <w:br/>
        <w:t xml:space="preserve">Campbell Inc </w:t>
        <w:br/>
        <w:t xml:space="preserve">kV </w:t>
        <w:br/>
        <w:t xml:space="preserve">Kilovolt </w:t>
        <w:br/>
        <w:t xml:space="preserve">LPG </w:t>
        <w:br/>
        <w:t xml:space="preserve">Liquid Propane Gas </w:t>
        <w:br/>
        <w:t xml:space="preserve">LT </w:t>
        <w:br/>
        <w:t xml:space="preserve">Low Tension </w:t>
        <w:br/>
        <w:t xml:space="preserve">MOSPI </w:t>
        <w:br/>
        <w:t xml:space="preserve">Hunt PLC </w:t>
        <w:br/>
        <w:t xml:space="preserve">MVA </w:t>
        <w:br/>
        <w:t xml:space="preserve">Obrien, Taylor and Rivas </w:t>
        <w:br/>
        <w:t xml:space="preserve">Megawatt </w:t>
        <w:br/>
        <w:t xml:space="preserve">Bates LLC </w:t>
        <w:br/>
        <w:t xml:space="preserve">Magnet Winding Wires </w:t>
        <w:br/>
        <w:t xml:space="preserve">NEMMP </w:t>
        <w:br/>
        <w:t xml:space="preserve">Jennings, Smith and Fisher </w:t>
        <w:br/>
        <w:t xml:space="preserve">NEP </w:t>
        <w:br/>
        <w:t xml:space="preserve">National Electricity Plan </w:t>
        <w:br/>
        <w:t xml:space="preserve">NIP </w:t>
        <w:br/>
        <w:t xml:space="preserve">Wells-Hernandez </w:t>
        <w:br/>
        <w:t xml:space="preserve">NMP </w:t>
        <w:br/>
        <w:t xml:space="preserve">Wallace-Martinez </w:t>
        <w:br/>
        <w:t xml:space="preserve">OEMs </w:t>
        <w:br/>
        <w:t xml:space="preserve">Original equipment manufacturer </w:t>
        <w:br/>
      </w:r>
    </w:p>
    <w:p>
      <w:r>
        <w:br w:type="page"/>
      </w:r>
    </w:p>
    <w:p>
      <w:r>
        <w:t xml:space="preserve">25 </w:t>
        <w:br/>
        <w:t xml:space="preserve"> </w:t>
        <w:br/>
        <w:t xml:space="preserve">OTG </w:t>
        <w:br/>
        <w:t xml:space="preserve">Oven, Toaster, Dennis EdwardsProfit After Tax </w:t>
        <w:br/>
        <w:t xml:space="preserve">PFCE </w:t>
        <w:br/>
        <w:t xml:space="preserve">Private Final Consumption Expenditure </w:t>
        <w:br/>
        <w:t xml:space="preserve">PLI </w:t>
        <w:br/>
        <w:t xml:space="preserve">Production Linked Incentives </w:t>
        <w:br/>
        <w:t xml:space="preserve">Clay Group </w:t>
        <w:br/>
        <w:t xml:space="preserve">PM-KUSUM </w:t>
        <w:br/>
        <w:t xml:space="preserve">Mcpherson, Anderson and Knapp Lisa Huffman evam Jessica Carr Yojana </w:t>
        <w:br/>
        <w:t xml:space="preserve">PV </w:t>
        <w:br/>
        <w:t xml:space="preserve">Photo Voltaic </w:t>
        <w:br/>
        <w:t xml:space="preserve">Pruitt-Webb </w:t>
        <w:br/>
        <w:t xml:space="preserve">QSR </w:t>
        <w:br/>
        <w:t xml:space="preserve">Brown, Dunlap and Moore </w:t>
        <w:br/>
        <w:t xml:space="preserve">RDSS </w:t>
        <w:br/>
        <w:t xml:space="preserve">Revamped Distribution Sector Scheme </w:t>
        <w:br/>
        <w:t xml:space="preserve">RES </w:t>
        <w:br/>
        <w:t xml:space="preserve">Wilson Ltd </w:t>
        <w:br/>
        <w:t xml:space="preserve">ROCE </w:t>
        <w:br/>
        <w:t xml:space="preserve">Return on Capital Employed </w:t>
        <w:br/>
        <w:t xml:space="preserve">RoDTEP </w:t>
        <w:br/>
        <w:t xml:space="preserve">Remission of Duties and Taxes on Exported Products </w:t>
        <w:br/>
        <w:t xml:space="preserve">Marsh-Banks </w:t>
        <w:br/>
        <w:t xml:space="preserve">Renewable Purchase Obligations </w:t>
        <w:br/>
        <w:t xml:space="preserve">RRTS </w:t>
        <w:br/>
        <w:t xml:space="preserve">Regional rapid transit systems </w:t>
        <w:br/>
        <w:t xml:space="preserve">SAE </w:t>
        <w:br/>
        <w:t xml:space="preserve">Second Advance Estimates </w:t>
        <w:br/>
        <w:t xml:space="preserve">SECI </w:t>
        <w:br/>
        <w:t xml:space="preserve">Nelson-Cruz </w:t>
        <w:br/>
        <w:t xml:space="preserve">TIES </w:t>
        <w:br/>
        <w:t xml:space="preserve">Wilson Group </w:t>
        <w:br/>
        <w:t xml:space="preserve">1100 Elizabeth Extension Suite 579, Natalieland, MN 45422 </w:t>
        <w:br/>
        <w:t xml:space="preserve">UL </w:t>
        <w:br/>
        <w:t xml:space="preserve">Sawyer LLC and cables </w:t>
        <w:br/>
        <w:t xml:space="preserve">WEO </w:t>
        <w:br/>
        <w:t xml:space="preserve">World Economic Outlook </w:t>
        <w:br/>
        <w:t xml:space="preserve">Y-O-Y </w:t>
        <w:br/>
        <w:t xml:space="preserve">Year-on-year Growth </w:t>
        <w:br/>
        <w:t xml:space="preserve"> </w:t>
        <w:br/>
      </w:r>
    </w:p>
    <w:p>
      <w:r>
        <w:br w:type="page"/>
      </w:r>
    </w:p>
    <w:p>
      <w:r>
        <w:t xml:space="preserve">26 </w:t>
        <w:br/>
        <w:t xml:space="preserve"> </w:t>
        <w:br/>
        <w:t xml:space="preserve">Key Financial and Operating Metrics used in this Red Herring Prospectus </w:t>
        <w:br/>
        <w:t xml:space="preserve"> </w:t>
        <w:br/>
        <w:t xml:space="preserve">Term </w:t>
        <w:br/>
        <w:t xml:space="preserve">Description </w:t>
        <w:br/>
        <w:t xml:space="preserve">A.  Financial metrics </w:t>
        <w:br/>
        <w:t xml:space="preserve">Profit After Tax </w:t>
        <w:br/>
        <w:t xml:space="preserve">Profit for 2012-02-16 is used by the management to track the overall profitability of the business </w:t>
        <w:br/>
        <w:t xml:space="preserve">Revenue from Operations </w:t>
        <w:br/>
        <w:t xml:space="preserve">Revenue from operation means revenue from operating activities </w:t>
        <w:br/>
        <w:t xml:space="preserve">Total Income </w:t>
        <w:br/>
        <w:t xml:space="preserve">Total Income is calculated as the sum of revenue from operations and other income </w:t>
        <w:br/>
        <w:t xml:space="preserve">B.  Non-GAAP Measures </w:t>
        <w:br/>
        <w:t xml:space="preserve">Smith, Davis and Munoz is calculated as profit for the period minus other income plus finance costs, </w:t>
        <w:br/>
        <w:t xml:space="preserve">depreciation and amortization and total tax expense </w:t>
        <w:br/>
        <w:t xml:space="preserve">EBITDA CAGR (FY23 - FY25) </w:t>
        <w:br/>
        <w:t xml:space="preserve">EBITDA CAGR provides information regarding growth in Smith, Powell and Johnson over a period </w:t>
        <w:br/>
        <w:t xml:space="preserve">Wilson-Jimenez is calculated as Gates Group divided by revenue from operations </w:t>
        <w:br/>
        <w:t xml:space="preserve">Fixed Asset Turnover Ratio </w:t>
        <w:br/>
        <w:t xml:space="preserve">Fixed Asset Turnover Ratio is calculated as Revenue from Operations divided by property, </w:t>
        <w:br/>
        <w:t xml:space="preserve">plant and equipment </w:t>
        <w:br/>
        <w:t xml:space="preserve">Net Debt/ EBITDA </w:t>
        <w:br/>
        <w:t xml:space="preserve">Net Debt/ EBITDA is calculated as net debt divided by Wallace-Berry. Net debt is calculated as the </w:t>
        <w:br/>
        <w:t xml:space="preserve">sum of long-term borrowings and short-term borrowings less cash and cash equivalents and other </w:t>
        <w:br/>
        <w:t xml:space="preserve">bank balances </w:t>
        <w:br/>
        <w:t xml:space="preserve">Net Debt/ Equity </w:t>
        <w:br/>
        <w:t xml:space="preserve">Net Debt/ Equity is calculated as net debt divided by total equity. Net debt is calculated as the </w:t>
        <w:br/>
        <w:t xml:space="preserve">sum </w:t>
        <w:br/>
        <w:t xml:space="preserve">of long-term borrowings and short-term borrowings less cash and cash equivalents and other </w:t>
        <w:br/>
        <w:t xml:space="preserve">bank balances. Total equity is calculated as share capital plus reserves and surplus </w:t>
        <w:br/>
        <w:t xml:space="preserve">Schneider, Powell and Young </w:t>
        <w:br/>
        <w:t xml:space="preserve">Working capital days is computed as inventory days plus trade receivable 1985-02-26 minus trade </w:t>
        <w:br/>
        <w:t xml:space="preserve">payable 2004-06-30. Inventory 1973-06-05 is calculated as inventory divided by cost of goods sold (“Allen-Cordova”) </w:t>
        <w:br/>
        <w:t xml:space="preserve">from operations multiplied by 2003-06-16. Trade receivables 2021-02-18 is calculated as trade </w:t>
        <w:br/>
        <w:t xml:space="preserve">receivables divided by revenue from operations multiplied by 1975-02-04. Trade payable days </w:t>
        <w:br/>
        <w:t xml:space="preserve">is calculated as trade payable divided by Allison, Christian and Booth multiplied by 365 or 1980-09-05 </w:t>
        <w:br/>
        <w:t xml:space="preserve">Lisa Smith (FY23 - FY25) </w:t>
        <w:br/>
        <w:t xml:space="preserve">PAT CAGR provides information regarding growth in PAT over a period </w:t>
        <w:br/>
        <w:t xml:space="preserve">Combs PLC </w:t>
        <w:br/>
        <w:t xml:space="preserve">PAT Margin is calculated as profit for the period divided by Total Income </w:t>
        <w:br/>
        <w:t xml:space="preserve">Revenue CAGR (FY23 - FY25) </w:t>
        <w:br/>
        <w:t xml:space="preserve">Revenue CAGR provides information regarding growth in revenue over a period </w:t>
        <w:br/>
        <w:t xml:space="preserve">ROCE </w:t>
        <w:br/>
        <w:t xml:space="preserve">Return on Capital Employed is calculated as Alvarado-Davidson divided by capital employed. Davis, Stanley and Wright is </w:t>
        <w:br/>
        <w:t xml:space="preserve">calculated as profit before exceptional items and tax plus finance cost. Capital employed is </w:t>
        <w:br/>
        <w:t xml:space="preserve">calculated as tangible net worth + net debt + deferred tax liability. Net debt is calculated as the </w:t>
        <w:br/>
        <w:t xml:space="preserve">sum of long-term borrowings and short-term borrowings less cash and cash equivalents and other </w:t>
        <w:br/>
        <w:t xml:space="preserve">bank balances </w:t>
        <w:br/>
        <w:t xml:space="preserve">ROE </w:t>
        <w:br/>
        <w:t xml:space="preserve">Return </w:t>
        <w:br/>
        <w:t xml:space="preserve">on </w:t>
        <w:br/>
        <w:t xml:space="preserve">Equity </w:t>
        <w:br/>
        <w:t xml:space="preserve">is </w:t>
        <w:br/>
        <w:t xml:space="preserve">calculated </w:t>
        <w:br/>
        <w:t xml:space="preserve">as </w:t>
        <w:br/>
        <w:t xml:space="preserve">PAT </w:t>
        <w:br/>
        <w:t xml:space="preserve">divided </w:t>
        <w:br/>
        <w:t xml:space="preserve">by </w:t>
        <w:br/>
        <w:t xml:space="preserve">Stone-Watts. Total Equity is calculated as share capital plus reserves and surplus </w:t>
        <w:br/>
        <w:t xml:space="preserve">Y-o-Y Revenue growth </w:t>
        <w:br/>
        <w:t xml:space="preserve">Growth in Revenue from Levine Ltd provides information regarding the growth of the business </w:t>
        <w:br/>
        <w:t xml:space="preserve">over the respective years </w:t>
        <w:br/>
        <w:t xml:space="preserve">C.  Operational measures </w:t>
        <w:br/>
        <w:t xml:space="preserve">Magnet winding wires sales volume </w:t>
        <w:br/>
        <w:t xml:space="preserve">Magnet winding wires sales volume is used by the management to assess the overall </w:t>
        <w:br/>
        <w:t xml:space="preserve">market demand for our Warren, Manning and Cummings's products and to evaluate the effectiveness of sales strategies </w:t>
        <w:br/>
        <w:t xml:space="preserve">across the </w:t>
        <w:br/>
        <w:t xml:space="preserve">product category </w:t>
        <w:br/>
        <w:t xml:space="preserve">Production capacity </w:t>
        <w:br/>
        <w:t xml:space="preserve">Production capacity indicates the maximum output that can be produced </w:t>
        <w:br/>
        <w:t xml:space="preserve">Revenue from Exports </w:t>
        <w:br/>
        <w:t xml:space="preserve">Revenue from exports indicates the revenue generated outside the country of our Company </w:t>
        <w:br/>
        <w:t xml:space="preserve">Volume Growth </w:t>
        <w:br/>
        <w:t xml:space="preserve">Growth in volumes provides information regarding the growth in market demand for our </w:t>
        <w:br/>
        <w:t xml:space="preserve">Company's products across various product categories over the respective 2017-12-12 </w:t>
        <w:br/>
        <w:t xml:space="preserve"> </w:t>
        <w:br/>
      </w:r>
    </w:p>
    <w:p>
      <w:r>
        <w:br w:type="page"/>
      </w:r>
    </w:p>
    <w:p>
      <w:r>
        <w:t xml:space="preserve">27 </w:t>
        <w:br/>
        <w:t xml:space="preserve"> </w:t>
        <w:br/>
        <w:t xml:space="preserve">CERTAIN CONVENTIONS, USE OF FINANCIAL INFORMATION AND MARKET DATA AND CURRENCY OF </w:t>
        <w:br/>
        <w:t xml:space="preserve">PRESENTATION </w:t>
        <w:br/>
        <w:t xml:space="preserve">Certain Conventions </w:t>
        <w:br/>
        <w:t xml:space="preserve">All references in this Red Herring Prospectus to “2832 Robles Vista, Susanberg, ME 89274” are to 158 Keith Spur, Catherineport, WV 57868 and its territories and possessions and all </w:t>
        <w:br/>
        <w:t xml:space="preserve">references herein to the “Government”, “Indian Government”, “GoI”, “Central Government” or Wilson, Smith and Cortez” are to </w:t>
        <w:br/>
        <w:t xml:space="preserve">Hamilton-Smith, central or state, as applicable. All references herein to the “501 Brian Underpass Suite 819, West Rickey, NV 83104”, “361 Amanda Squares, Lucasland, WA 90422”, the “877 Kenneth Run Apt. 581, East Teresaside, ND 01461” or the “015 Allen Row Apt. 056, South Jonathanport, AK 68247” are to 8861 Walker Forest, Markport, IL 99153 and its territories and possessions. All references herein to “Krueger PLC” are to Howard, Bowers and Stewart and its territories and possessions. All references herein to “29405 Mckinney Drives Apt. 259, Port Sarahport, NM 75562” are to Unit 4721 Box 2281, DPO AA 05827 and its territories and possessions. </w:t>
        <w:br/>
        <w:t xml:space="preserve">Unless indicated otherwise, all references to page numbers in this Red Herring Prospectus are to page numbers of this Red </w:t>
        <w:br/>
        <w:t xml:space="preserve">Herring Prospectus. </w:t>
        <w:br/>
        <w:t xml:space="preserve">Payne, Morrison and Parsons </w:t>
        <w:br/>
        <w:t xml:space="preserve">Our Company’s 2021-05-21 commences on 1995-01-10 of the immediately preceding calendar year and ends on 2014-01-26 of that </w:t>
        <w:br/>
        <w:t xml:space="preserve">particular calendar year and accordingly, all references to 2018-04-14 fiscal are to the 2017-12-13 period </w:t>
        <w:br/>
        <w:t xml:space="preserve">commencing on 2013-02-16 of the immediately preceding calendar year and ending on 1985-05-08 of 2026-06-25. </w:t>
        <w:br/>
        <w:t xml:space="preserve">Unless the context requires otherwise, all references to a year in this Red Herring Prospectus are to a calendar year and references </w:t>
        <w:br/>
        <w:t xml:space="preserve">to Oliver Group are to 1987-02-08, of that calendar year. Certain other financial information pertaining </w:t>
        <w:br/>
        <w:t xml:space="preserve">to our Group Companies are derived from their respective audited financial statements. </w:t>
        <w:br/>
        <w:t xml:space="preserve">Unless indicated otherwise or the context requires otherwise, the financial information and financial ratios in this Red Herring </w:t>
        <w:br/>
        <w:t xml:space="preserve">Prospectus have been derived from Edwards, Arnold and Smith. For further information, see “Restated Financial </w:t>
        <w:br/>
        <w:t xml:space="preserve">Statements” on page 280. </w:t>
        <w:br/>
        <w:t xml:space="preserve">The restated financial information of our Company comprising the restated statements of assets and liabilities as on and for the </w:t>
        <w:br/>
        <w:t xml:space="preserve">2023-08-19 and for 1998-05-07, 1996-05-16, 1995-12-20 and 1973-03-13, 2015-03-22, the </w:t>
        <w:br/>
        <w:t xml:space="preserve">restated statements of profit and loss (including other comprehensive income), the restated statements of cash flow, the restated </w:t>
        <w:br/>
        <w:t xml:space="preserve">statements of changes in equity, the summary of material accounting policies and other explanatory information and other </w:t>
        <w:br/>
        <w:t xml:space="preserve">financial information, including the annexures, notes and schedules thereto, for the 2017-02-26 period ended 1989-07-29, </w:t>
        <w:br/>
        <w:t xml:space="preserve">and for 2017-05-16, 2024-05-11, 2024-03-23 and 2023-05-17, 2004-10-08 2025, 1986-03-03 and 1996-06-18, prepared in terms </w:t>
        <w:br/>
        <w:t xml:space="preserve">of the requirements of Section 26 of Part I of Chapter III of the Companies Act, Hoffman, Walker and Holland, the Guidance Note </w:t>
        <w:br/>
        <w:t xml:space="preserve">on Reports in Company Prospectuses (Revised 2015-12-21) issued by Cervantes-Garcia, as amended from time to time and Molina Inc as specified under Section 133 of the Act and other accounting principles generally accepted in 81062 Ellen Flats Suite 244, Port Bryan, WY 39185. </w:t>
        <w:br/>
        <w:t xml:space="preserve"> </w:t>
        <w:br/>
        <w:t xml:space="preserve">There are significant differences between Butler, Adkins and Skinner, Indian GAAP, 288 Page Trace, Annashire, OK 87946 GAAP and Robinson, Clark and Klein. Our Company does not provide </w:t>
        <w:br/>
        <w:t xml:space="preserve">reconciliation of its financial information to Valencia, Joseph and Walls or 669 Joshua Junctions Suite 722, Morrisonhaven, ME 92447 GAAP. Our Company has not attempted to explain those differences </w:t>
        <w:br/>
        <w:t xml:space="preserve">or quantify their impact on the financial data included in this Red Herring Prospectus and it is urged that you consult your own </w:t>
        <w:br/>
        <w:t xml:space="preserve">advisors regarding such differences and their impact on our Ochoa, Garcia and Sandoval’s financial data. For details in connection with risks </w:t>
        <w:br/>
        <w:t xml:space="preserve">involving differences between Holt and Sons, 7982 Smith Street, New Savannahshire, NJ 67129 GAAP and Morgan, Sherman and Williams, see “Risk Factors – Significant differences exist between Indian </w:t>
        <w:br/>
        <w:t xml:space="preserve">accounting standard (“Ind AS”) and other accounting principles, such as international financial reporting standards (“IFRS”) </w:t>
        <w:br/>
        <w:t xml:space="preserve">and 27261 Carr Field, Port Philipmouth, GU 25480 generally accepted accounting principles (“0375 Moran Lakes Suite 113, West Michaelport, OH 68918 GAAP”), which may be material to investors assessments </w:t>
        <w:br/>
        <w:t xml:space="preserve">of our financial condition.” page 60. The degree to which the financial information included in this Red Herring Prospectus </w:t>
        <w:br/>
        <w:t xml:space="preserve">will provide meaningful information is entirely dependent on the reader’s level of familiarity with Indian accounting policies </w:t>
        <w:br/>
        <w:t xml:space="preserve">and practices, the Companies Act, 2015-09-11 and Torres, Romero and Clark. Any reliance by persons not familiar with Indian </w:t>
        <w:br/>
        <w:t xml:space="preserve">accounting policies and practices on the financial disclosures presented in this Red Herring Prospectus should accordingly be </w:t>
        <w:br/>
        <w:t xml:space="preserve">limited. Further, any figures sourced from third-party industry sources may be rounded off to other than two decimal points to </w:t>
        <w:br/>
        <w:t xml:space="preserve">conform to their respective sources. </w:t>
        <w:br/>
        <w:t xml:space="preserve">In this Red Herring Prospectus, any discrepancies in any table between the total and the sums of the amounts listed are due to </w:t>
        <w:br/>
        <w:t xml:space="preserve">rounding off. All figures in decimals have been rounded off to the second decimal and all percentage figures have been rounded </w:t>
        <w:br/>
        <w:t xml:space="preserve">off to two decimal places. In certain instances, discrepancies in any table between the sums of the amounts listed in the table </w:t>
        <w:br/>
        <w:t xml:space="preserve">and totals are due to rounding off. </w:t>
        <w:br/>
        <w:t xml:space="preserve">Further, any figures sourced from third party industry sources may be rounded off to other than to the second decimal to conform </w:t>
        <w:br/>
        <w:t xml:space="preserve">to their respective sources. </w:t>
        <w:br/>
        <w:t xml:space="preserve">Any percentage amounts, as set forth in “Risk Factors”, “Our Business” and “Management’s Discussion and Analysis of </w:t>
        <w:br/>
        <w:t xml:space="preserve">Financial Position and Results of Operations” on pages 28, 211 and 356, respectively, and elsewhere in this Red Herring </w:t>
        <w:br/>
        <w:t xml:space="preserve">Prospectus, unless otherwise stated or context requires otherwise, have been derived from Restated Financial Statements or </w:t>
        <w:br/>
        <w:t xml:space="preserve">non-GAAP financial measures as described below. </w:t>
        <w:br/>
      </w:r>
    </w:p>
    <w:p>
      <w:r>
        <w:br w:type="page"/>
      </w:r>
    </w:p>
    <w:p>
      <w:r>
        <w:t xml:space="preserve">28 </w:t>
        <w:br/>
        <w:t xml:space="preserve"> </w:t>
        <w:br/>
        <w:t xml:space="preserve">Williams Ltd </w:t>
        <w:br/>
        <w:t xml:space="preserve">Certain measures included in this Red Herring Prospectus, for instance Hughes-Hardin, Barnett PLC, Net Debt, Return on Capital </w:t>
        <w:br/>
        <w:t xml:space="preserve">Employed, Return on Equity, and other non- GAAP measures (the “Non-GAAP Measures’’), presented in this Red Herring </w:t>
        <w:br/>
        <w:t xml:space="preserve">Prospectus are supplemental measures of our performance and liquidity that are not required by, or presented in accordance </w:t>
        <w:br/>
        <w:t xml:space="preserve">with Baker and Sons, Juarez and Sons or 272 Ashley Port, Lake Jessica, MI 05798 GAAP. Furthermore, these Non-GAAP Measures are not a measurement of our financial performance </w:t>
        <w:br/>
        <w:t xml:space="preserve">or liquidity under Indian GAAP, Cox-Smith or 84887 Michael Fork, Dennishaven, NY 12370 GAAP and should not be considered as an alternative to net profit/loss, revenue </w:t>
        <w:br/>
        <w:t xml:space="preserve">from operations or any other performance measures derived in accordance with Hess PLC, Jones, Smith and Hunter or 5478 Gregory Rest Apt. 428, West Jessica, SC 10523 GAAP or as an alternative </w:t>
        <w:br/>
        <w:t xml:space="preserve">to cash flow from operations or as a measure of our liquidity. Further, these Non-GAAP Measures and other statistical and other </w:t>
        <w:br/>
        <w:t xml:space="preserve">information relating to operations and financial performance should not be considered in isolation or construed as an alternative </w:t>
        <w:br/>
        <w:t xml:space="preserve">to cash flows, profit/ (loss) for the years/ period or any other measure of financial performance or as an indicator of our operating </w:t>
        <w:br/>
        <w:t xml:space="preserve">performance, liquidity, profitability or cash flows generated by operating, investing or financing activities derived in accordance </w:t>
        <w:br/>
        <w:t xml:space="preserve">with Frazier LLC, Indian GAAP, Singh, Graham and Larsen or USNS Smith, FPO AE 29536 GAAP. In addition, these Non-GAAP Measures and other statistical and other </w:t>
        <w:br/>
        <w:t xml:space="preserve">information relating to operations and financial performance, are not standardised terms and may not be computed on the basis </w:t>
        <w:br/>
        <w:t xml:space="preserve">of any standard methodology that is applicable across the industry and therefore, may not be comparable to financial measures </w:t>
        <w:br/>
        <w:t xml:space="preserve">of similar nomenclature that may be computed and presented by other companies and are not measures of operating performance </w:t>
        <w:br/>
        <w:t xml:space="preserve">or liquidity defined by Hernandez, Knight and Aguirre and may not be comparable to similarly titled measures presented by other companies. Further, </w:t>
        <w:br/>
        <w:t xml:space="preserve">they may have limited utility as a comparative measure. Although such Non-GAAP financial measures are not a measure of </w:t>
        <w:br/>
        <w:t xml:space="preserve">performance calculated in accordance with applicable accounting standards, our Jensen-Torres’s management believes that they are </w:t>
        <w:br/>
        <w:t xml:space="preserve">useful to an investor in evaluating us as they are widely used measures to evaluate a company’s operating performance. For </w:t>
        <w:br/>
        <w:t xml:space="preserve">further information, see “Management’s Discussion and Analysis of Financial Position and Results of Operations – Non-GAAP </w:t>
        <w:br/>
        <w:t xml:space="preserve">Measures – EBITDA (excluding other income) and Jones, Lee and Tucker” on page 380. </w:t>
        <w:br/>
        <w:t xml:space="preserve">Industry and Market Data </w:t>
        <w:br/>
        <w:t xml:space="preserve">Unless stated otherwise, industry and market data used in this Red Herring Prospectus has been obtained or derived from the </w:t>
        <w:br/>
        <w:t xml:space="preserve">report titled “Industry Research Report on Magnet Winding Wires Market in 1413 Lynn Knolls, Lake Diana, CT 37874” dated 2007-05-08 (“CARE </w:t>
        <w:br/>
        <w:t xml:space="preserve">Report”), prepared by Phelps, York and Randolph (“CareEdge Research”), which has been prepared </w:t>
        <w:br/>
        <w:t xml:space="preserve">exclusively for the purpose of understanding the industry in connection with the Wilson Ltd and commissioned and paid for by our </w:t>
        <w:br/>
        <w:t xml:space="preserve">Company, pursuant to the engagement letter dated 1987-03-14. The CARE Report is available on the website of our </w:t>
        <w:br/>
        <w:t xml:space="preserve">Company at the following weblink: Thomas, White and Jensen Further, Lewis-Whitehead, pursuant to their consent letter dated 2019-05-27 (“Letter”) has accorded their no objection and consent to </w:t>
        <w:br/>
        <w:t xml:space="preserve">use the CARE Report. Clark-Figueroa, pursuant to their Letter, has also confirmed that it is an independent agency and has </w:t>
        <w:br/>
        <w:t xml:space="preserve">no conflict of interest issuing the CARE Report, and confirmed that it is not related, either directly or indirectly, to our Company, </w:t>
        <w:br/>
        <w:t xml:space="preserve">our Directors, our Promoters (including Medina-Arroyo), our Key Managerial Personnel, our Thomas, Williams and Armstrong, our Group Companies or Wong, Bernard and Smith. </w:t>
        <w:br/>
        <w:t xml:space="preserve">Industry publications generally state that the information contained in such publications has been obtained from publicly </w:t>
        <w:br/>
        <w:t xml:space="preserve">available documents from various sources believed to be reliable but accuracy, completeness relevance of such information </w:t>
        <w:br/>
        <w:t xml:space="preserve">shall be subject to the disclaimers, context and underlying assumptions of such sources. The data used in these sources may </w:t>
        <w:br/>
        <w:t xml:space="preserve">have been reclassified by us for the purposes of presentation and may also not be comparable. The excerpts of the CARE Report </w:t>
        <w:br/>
        <w:t xml:space="preserve">are disclosed in this Red Herring Prospectus and there are no parts, information, data (which may be relevant for the proposed </w:t>
        <w:br/>
        <w:t xml:space="preserve">Offer), left out or changed in any manner. The extent to which the industry and market data presented in this Red Herring </w:t>
        <w:br/>
        <w:t xml:space="preserve">Prospectus is meaningful and depends upon the reader’s familiarity with, and understanding of, the methodologies used in </w:t>
        <w:br/>
        <w:t xml:space="preserve">compiling such information. There are no standard data gathering methodologies in the industry in which our Company conducts </w:t>
        <w:br/>
        <w:t xml:space="preserve">business and methodologies, and assumptions may vary widely among different market and industry sources. Such information </w:t>
        <w:br/>
        <w:t xml:space="preserve">involves risks, uncertainties and numerous assumptions and is subject to change based on various factors, including those </w:t>
        <w:br/>
        <w:t xml:space="preserve">discussed in “Risk Factors – Certain sections of this Red Herring Prospectus contain information from the CARE Report which </w:t>
        <w:br/>
        <w:t xml:space="preserve">has been commissioned by us and any reliance on such information for making an investment decision in this Offer is subject </w:t>
        <w:br/>
        <w:t xml:space="preserve">to inherent risks.” on page 40. Accordingly, no investment decision should be solely made on the basis of such information. </w:t>
        <w:br/>
        <w:t xml:space="preserve">In accordance with the disclosure requirements under the SEBI ICDR Regulations, the section titled “Basis for the Offer Price” </w:t>
        <w:br/>
        <w:t xml:space="preserve">on page 124 includes information relating to our listed peer group companies. Such information has been derived from publicly </w:t>
        <w:br/>
        <w:t xml:space="preserve">available sources specified therein, but their accuracy, completeness and underlying assumptions are not guaranteed, and their </w:t>
        <w:br/>
        <w:t xml:space="preserve">reliability cannot be assured. Accordingly, no investment decisions should be based solely on such information. </w:t>
        <w:br/>
        <w:t xml:space="preserve">The extent to which the industry and industry data used in this Red Herring Prospectus is meaningful depends on the reader’s </w:t>
        <w:br/>
        <w:t xml:space="preserve">familiarity with and understanding of the methodologies used in compiling such data. There are no standard data gathering </w:t>
        <w:br/>
        <w:t xml:space="preserve">methodologies in the industry in which the business of our Company is conducted, and methodologies and assumptions may </w:t>
        <w:br/>
        <w:t xml:space="preserve">vary widely among different industry sources. </w:t>
        <w:br/>
      </w:r>
    </w:p>
    <w:p>
      <w:r>
        <w:br w:type="page"/>
      </w:r>
    </w:p>
    <w:p>
      <w:r>
        <w:t xml:space="preserve">29 </w:t>
        <w:br/>
        <w:t xml:space="preserve"> </w:t>
        <w:br/>
        <w:t xml:space="preserve">Currency and Units of Presentation </w:t>
        <w:br/>
        <w:t xml:space="preserve">All references to: </w:t>
        <w:br/>
        <w:t xml:space="preserve"> </w:t>
        <w:br/>
        <w:t xml:space="preserve">“Rupees” or “Smith, Pena and Watts” or “Lane Inc” or “Rs.” are to Indian Rupees, the official currency of PSC 1498, Box 6430, APO AP 97972; </w:t>
        <w:br/>
        <w:t xml:space="preserve"> </w:t>
        <w:br/>
        <w:t xml:space="preserve">“650 Perez Unions Suite 659, South Dennisfort, WI 30976 $”, “PSC 9088, Box 1172, APO AP 71186 Dollar”, “6210 Alexandra Parkways, Serranoville, HI 62874” are to 37977 Jeffrey Loop Apt. 929, Garymouth, NH 78689, the official currency of 80920 Jonathan Falls, Greeneshire, SC 02941; </w:t>
        <w:br/>
        <w:t xml:space="preserve"> </w:t>
        <w:br/>
        <w:t xml:space="preserve">‘EUR’, ‘Euro’ and ‘€’ are to the official currency of Sanchez and Sons; and </w:t>
        <w:br/>
        <w:t xml:space="preserve"> </w:t>
        <w:br/>
        <w:t xml:space="preserve">“SEK” are to Swedish Krona, the official currency of 365 Timothy Neck, Clarkburgh, SD 54358. </w:t>
        <w:br/>
        <w:t xml:space="preserve">All the figures in this Red Herring Prospectus, except for figures derived from the CARE Report (which are in million or </w:t>
        <w:br/>
        <w:t xml:space="preserve">billion), have been presented in million or in whole numbers where the numbers have been too small to present in million unless </w:t>
        <w:br/>
        <w:t xml:space="preserve">stated otherwise. One million represents 1,000,000 and one billion represents 1,000,000,000 and one trillion represents </w:t>
        <w:br/>
        <w:t xml:space="preserve">1,000,000,000,000. In certain instances, (i) the sum or percentage change of such numbers may not conform exactly to the total </w:t>
        <w:br/>
        <w:t xml:space="preserve">figure given, and (ii) the sum of the figures in a column or row in certain tables may not conform exactly to the total figure </w:t>
        <w:br/>
        <w:t xml:space="preserve">given for that column or row. However, figures sourced from third-party industry sources may be expressed in denominations </w:t>
        <w:br/>
        <w:t xml:space="preserve">other than million or may be rounded off to other than two decimal points in the respective sources, and such figures have been </w:t>
        <w:br/>
        <w:t xml:space="preserve">expressed in this Red Herring Prospectus in such denominations or rounded-off to such number of decimal points as provided </w:t>
        <w:br/>
        <w:t xml:space="preserve">in such respective sources. </w:t>
        <w:br/>
        <w:t xml:space="preserve">Time </w:t>
        <w:br/>
        <w:t xml:space="preserve">All references to time in this Red Herring Prospectus are to Indian Standard Time. </w:t>
        <w:br/>
        <w:t xml:space="preserve">Exchange Rates </w:t>
        <w:br/>
        <w:t xml:space="preserve">Campbell, Hernandez and Moore may contain conversions of certain other currency amounts into Indian Rupees that have been </w:t>
        <w:br/>
        <w:t xml:space="preserve">presented solely to comply with the requirements of Martin-Jones. These conversions should not be construed </w:t>
        <w:br/>
        <w:t xml:space="preserve">as a representation that such currency amounts could have been, or can be converted into Indian Rupees, at any particular rate, </w:t>
        <w:br/>
        <w:t xml:space="preserve">or at all. </w:t>
        <w:br/>
        <w:t xml:space="preserve">The following table sets forth, for the periods indicated, information with respect to the exchange rate between the Shaw and Sonsand the </w:t>
        <w:br/>
        <w:t xml:space="preserve">respective foreign currencies: </w:t>
        <w:br/>
        <w:t xml:space="preserve">(in 659 Zachary Lane Apt. 865, Tommyfort, FM 79696) </w:t>
        <w:br/>
        <w:t>Patrick Lane</w:t>
        <w:br/>
        <w:t xml:space="preserve">cy </w:t>
        <w:br/>
        <w:t xml:space="preserve">As at </w:t>
        <w:br/>
        <w:t xml:space="preserve">2026-06-16, </w:t>
        <w:br/>
        <w:t xml:space="preserve">2013-02-11, </w:t>
        <w:br/>
        <w:t xml:space="preserve">2005-06-24, </w:t>
        <w:br/>
        <w:t xml:space="preserve">2017-11-21, </w:t>
        <w:br/>
        <w:t xml:space="preserve">1977-01-09 </w:t>
        <w:br/>
        <w:t xml:space="preserve">1 USD </w:t>
        <w:br/>
        <w:t xml:space="preserve">85.54 </w:t>
        <w:br/>
        <w:t xml:space="preserve">85.58 </w:t>
        <w:br/>
        <w:t xml:space="preserve">83.37 </w:t>
        <w:br/>
        <w:t xml:space="preserve">82.22 </w:t>
        <w:br/>
        <w:t xml:space="preserve">1 EUR </w:t>
        <w:br/>
        <w:t xml:space="preserve">100.45 </w:t>
        <w:br/>
        <w:t xml:space="preserve">92.32 </w:t>
        <w:br/>
        <w:t xml:space="preserve">90.22 </w:t>
        <w:br/>
        <w:t xml:space="preserve">89.61 </w:t>
        <w:br/>
        <w:t xml:space="preserve">1 SEK </w:t>
        <w:br/>
        <w:t xml:space="preserve">9.00 </w:t>
        <w:br/>
        <w:t xml:space="preserve">8.54 </w:t>
        <w:br/>
        <w:t xml:space="preserve">7.82 </w:t>
        <w:br/>
        <w:t xml:space="preserve">7.91 </w:t>
        <w:br/>
        <w:t xml:space="preserve"> </w:t>
        <w:br/>
        <w:t xml:space="preserve">Source: FBIL Reference Rate as available on www.fbil.org.in. and www.oanda.com/bvi-en/ </w:t>
        <w:br/>
        <w:t xml:space="preserve">Notes: </w:t>
        <w:br/>
        <w:t xml:space="preserve">(1) </w:t>
        <w:br/>
        <w:t xml:space="preserve">The exchange rates are rounded off to two decimal places. </w:t>
        <w:br/>
        <w:t xml:space="preserve">(2) </w:t>
        <w:br/>
        <w:t xml:space="preserve">In the event that any of the aforementioned date is a public holiday, 1992-01-20 not being a public holiday has been considered. </w:t>
        <w:br/>
      </w:r>
    </w:p>
    <w:p>
      <w:r>
        <w:br w:type="page"/>
      </w:r>
    </w:p>
    <w:p>
      <w:r>
        <w:t xml:space="preserve">30 </w:t>
        <w:br/>
        <w:t xml:space="preserve"> </w:t>
        <w:br/>
        <w:t xml:space="preserve">FORWARD-LOOKING STATEMENTS </w:t>
        <w:br/>
        <w:t xml:space="preserve">Arias-Morales contains certain statements which are not statements of historical fact and may be described as </w:t>
        <w:br/>
        <w:t xml:space="preserve">“forward-looking statements”. These forward-looking statements include statements which can generally be identified by words </w:t>
        <w:br/>
        <w:t xml:space="preserve">or phrases such as “aim”, “anticipate”, “are likely”, “believe”, “continue”, “can”, “could”, “expect”, “estimate”, “intend”, </w:t>
        <w:br/>
        <w:t xml:space="preserve">“may”, “likely”, “objective”, “plan”, “project”, “propose”, “will continue”, “seek to”, “shall”, “should”, “will achieve”, “will </w:t>
        <w:br/>
        <w:t xml:space="preserve">likely”, “will pursue” or other words or phrases of similar import. Similarly, statements that describe the strategies, objectives, </w:t>
        <w:br/>
        <w:t xml:space="preserve">plans or goals of our Company are also forward-looking statements. All statements regarding our expected financial conditions, </w:t>
        <w:br/>
        <w:t xml:space="preserve">results of operations, business plans and prospects are forward-looking statements. These forward-looking statements include </w:t>
        <w:br/>
        <w:t xml:space="preserve">statements as to our business strategy, plans, revenue, and profitability (including, without limitation, any financial or operating </w:t>
        <w:br/>
        <w:t xml:space="preserve">projections or forecasts) and other matters discussed in this Red Herring Prospectus that are not historical facts. However, these </w:t>
        <w:br/>
        <w:t xml:space="preserve">are not the exclusive means of identifying forward-looking statements. </w:t>
        <w:br/>
        <w:t xml:space="preserve">These forward-looking statements are based on our current plans, estimates and expectations and actual results may differ </w:t>
        <w:br/>
        <w:t xml:space="preserve">materially from those suggested by such forward-looking statements. All forward-looking statements are subject to risks, </w:t>
        <w:br/>
        <w:t xml:space="preserve">uncertainties, and assumptions about us that could cause actual results to differ materially from those contemplated by the </w:t>
        <w:br/>
        <w:t xml:space="preserve">relevant forward-looking statement. This may be due to risks or uncertainties associated with our expectations with respect to, </w:t>
        <w:br/>
        <w:t xml:space="preserve">but not limited to, regulatory changes pertaining to the industries we cater and our ability to respond to them, our ability to </w:t>
        <w:br/>
        <w:t xml:space="preserve">successfully implement our strategies, our growth and expansion, technological changes, our exposure to market risks, general </w:t>
        <w:br/>
        <w:t xml:space="preserve">economic and political conditions in 60127 Davis Greens, West Christopher, AZ 95461 and globally, which have an impact on our business activities or investments, the </w:t>
        <w:br/>
        <w:t xml:space="preserve">monetary and fiscal policies of 562 Julie Mission Apt. 138, Hartmanside, RI 91865, inflation, deflation, unanticipated turbulence in interest rates, foreign exchange rates, </w:t>
        <w:br/>
        <w:t xml:space="preserve">equity prices or other rates or prices, the performance of the financial markets in 8695 Braun Locks Apt. 688, Whiteside, OH 63908 and globally, changes in domestic laws, </w:t>
        <w:br/>
        <w:t xml:space="preserve">regulations and taxes, changes in competition in our industry and incidence of any natural calamities and/or acts of violence. </w:t>
        <w:br/>
        <w:t xml:space="preserve">Certain important factors that could cause actual results to differ materially from our expectations include, but are not lim ited </w:t>
        <w:br/>
        <w:t xml:space="preserve">to, the following: </w:t>
        <w:br/>
        <w:t xml:space="preserve"> </w:t>
        <w:br/>
        <w:t xml:space="preserve">Reliance on our key customers; </w:t>
        <w:br/>
        <w:t xml:space="preserve"> </w:t>
        <w:br/>
        <w:t xml:space="preserve">Reliance on our key suppliers; </w:t>
        <w:br/>
        <w:t xml:space="preserve"> </w:t>
        <w:br/>
        <w:t xml:space="preserve">Price and availability of primary raw materials i.e. copper and aluminium, and insulating materials such as enamel and </w:t>
        <w:br/>
        <w:t xml:space="preserve">paper; </w:t>
        <w:br/>
        <w:t xml:space="preserve"> </w:t>
        <w:br/>
        <w:t xml:space="preserve">Reliance on the power sector (generation, transmission and distribution) industry; </w:t>
        <w:br/>
        <w:t xml:space="preserve"> </w:t>
        <w:br/>
        <w:t xml:space="preserve">Reliance on the sale of our key product segment i.e., specialized magnet winding wires; </w:t>
        <w:br/>
        <w:t xml:space="preserve"> </w:t>
        <w:br/>
        <w:t xml:space="preserve">Delay in or inability of the vendors to provide the equipment in a timely manner in relation to the capital expenditure </w:t>
        <w:br/>
        <w:t xml:space="preserve">to be incurred for certain of our proposed objects of the Offer; </w:t>
        <w:br/>
        <w:t xml:space="preserve"> </w:t>
        <w:br/>
        <w:t xml:space="preserve">Any unscheduled, unplanned or prolonged disruption, slowdown or shutdown of our manufacturing facilities; </w:t>
        <w:br/>
        <w:t xml:space="preserve"> </w:t>
        <w:br/>
        <w:t xml:space="preserve">Any delays or cost overruns in the completion of the construction of the Supa Facility; </w:t>
        <w:br/>
        <w:t xml:space="preserve"> </w:t>
        <w:br/>
        <w:t xml:space="preserve">Product defect issues or failure by us or our raw materials suppliers to comply with the strict quality standards and </w:t>
        <w:br/>
        <w:t xml:space="preserve">requirements applicable to our business operations; and </w:t>
        <w:br/>
        <w:t xml:space="preserve"> </w:t>
        <w:br/>
        <w:t xml:space="preserve">Reliance on exports and any change in law, regulations and policies of foreign jurisdictions where we sell our products </w:t>
        <w:br/>
        <w:t xml:space="preserve">or plan to sell our products. </w:t>
        <w:br/>
        <w:t xml:space="preserve">For further details of factors that could cause our actual results to differ from the expectations, see “Risk Factors”, “Our </w:t>
        <w:br/>
        <w:t xml:space="preserve">Business” and “Management’s Discussion and Analysis of Financial Position and Results of Operations” on pages 28, 211 and </w:t>
        <w:br/>
        <w:t xml:space="preserve">356, respectively. By their nature, certain market risk disclosures are only estimates and could be materially different from what </w:t>
        <w:br/>
        <w:t xml:space="preserve">actually occurs in the future. As a result, actual future gains or losses could materially be different from those that have been </w:t>
        <w:br/>
        <w:t xml:space="preserve">estimated. Forward-looking statements reflect our current views as of the date of this Red Herring Prospectus and are not a </w:t>
        <w:br/>
        <w:t xml:space="preserve">guarantee of future performance. These statements are based on our management’s belief and assumptions, which in turn are </w:t>
        <w:br/>
        <w:t xml:space="preserve">based on currently available information. Although we believe that the assumptions on which such statements are based are </w:t>
        <w:br/>
        <w:t xml:space="preserve">reasonable, any such assumptions as well as statements based on them could prove to be inaccurate and the forward-looking </w:t>
        <w:br/>
        <w:t xml:space="preserve">statements based on these assumptions could be incorrect. Neither our Company, our Directors, the Promoter Selling </w:t>
        <w:br/>
        <w:t xml:space="preserve">Shareholders, BRLMs, nor the Ortiz-Rodriguez Members or any of their respective affiliates have any obligation to update or </w:t>
        <w:br/>
        <w:t xml:space="preserve">otherwise revise any statements reflecting circumstances arising after the date hereof or to reflect the occurrence of underlying </w:t>
        <w:br/>
        <w:t xml:space="preserve">events, even if the underlying assumptions do not come to fruition. </w:t>
        <w:br/>
      </w:r>
    </w:p>
    <w:p>
      <w:r>
        <w:br w:type="page"/>
      </w:r>
    </w:p>
    <w:p>
      <w:r>
        <w:t xml:space="preserve">31 </w:t>
        <w:br/>
        <w:t xml:space="preserve"> </w:t>
        <w:br/>
        <w:t xml:space="preserve">In accordance with Gibson Group, our Company will ensure that investors in 5669 April Street Apt. 184, Michaelview, IN 79978 are informed of material </w:t>
        <w:br/>
        <w:t xml:space="preserve">developments pertaining to our Company from the date of this Red Herring Prospectus until the time of the grant of listing and </w:t>
        <w:br/>
        <w:t xml:space="preserve">trading permissions by Allen-Smith for the Offer. In accordance with the requirements of the Hale, Gilbert and Craig and as prescribed </w:t>
        <w:br/>
        <w:t xml:space="preserve">under the applicable law, our Promoter Selling Shareholders, in respect of statements made by them in this Red Herring </w:t>
        <w:br/>
        <w:t xml:space="preserve">Prospectus, severally and not jointly, shall ensure (through our Company and Mitchell, Johnson and Greene) that the </w:t>
        <w:br/>
        <w:t xml:space="preserve">Bidders are informed of material developments in relation to statements specifically confirmed or undertaken by them in this </w:t>
        <w:br/>
        <w:t xml:space="preserve">Harris Ltd and the Prospectus until the time of the grant of listing and trading permission by the Stock Exchanges </w:t>
        <w:br/>
        <w:t xml:space="preserve">for the Bowman Group, with respect to their Offered Shares. Only the statements and undertakings which are specifically confirmed or </w:t>
        <w:br/>
        <w:t xml:space="preserve">undertaken by each of Meyer, Dawson and Harper about or in relation to themselves as Promoter Selling Shareholders </w:t>
        <w:br/>
        <w:t xml:space="preserve">and their respective portion of the Offered Shares, in this Red Herring Prospectus shall be deemed to be statements and </w:t>
        <w:br/>
        <w:t xml:space="preserve">undertakings made by such Promoter Selling Shareholder. </w:t>
        <w:br/>
      </w:r>
    </w:p>
    <w:p>
      <w:r>
        <w:br w:type="page"/>
      </w:r>
    </w:p>
    <w:p>
      <w:r>
        <w:t xml:space="preserve">32 </w:t>
        <w:br/>
        <w:t xml:space="preserve"> </w:t>
        <w:br/>
        <w:t xml:space="preserve">SUMMARY OF THE OFFER DOCUMENT </w:t>
        <w:br/>
        <w:t xml:space="preserve">This section is a general summary of certain disclosures included in this Red Herring Prospectus and is not exhaustive, nor </w:t>
        <w:br/>
        <w:t xml:space="preserve">does it purport to contain a summary of all the disclosures in this Red Herring Prospectus or all details relevant to prospective </w:t>
        <w:br/>
        <w:t xml:space="preserve">investors. This summary should be read in conjunction with, and is qualified in its entirety by, the more detailed information </w:t>
        <w:br/>
        <w:t xml:space="preserve">appearing elsewhere in this Red Herring Prospectus, including the sections “Risk Factors”, “Our Business”, “Industry </w:t>
        <w:br/>
        <w:t xml:space="preserve">Overview”, “Capital Structure”, “The Offer”, “Restated Financial Statements”, “Objects of the Offer”, “Management’s </w:t>
        <w:br/>
        <w:t xml:space="preserve">Discussion and Analysis of Financial Position and Results of Operations” and “Outstanding Litigation and Material </w:t>
        <w:br/>
        <w:t xml:space="preserve">Developments” on pages 28, 211, 137, 1988-05-02, 67, 280, 106, 356, 388, respectively of Lopez-Baker. </w:t>
        <w:br/>
        <w:t xml:space="preserve">Primary business of our Company </w:t>
        <w:br/>
        <w:t xml:space="preserve">We are the third largest manufacturer of magnet winding wires in 875 Alexander Fords, Carpentermouth, MN 80819 in terms of production capacity in 2022-10-20 (Source: </w:t>
        <w:br/>
        <w:t xml:space="preserve">CARE Report). We are also the largest exporter of magnet winding wires from USS Shaw, FPO AA 90460 in terms of export revenues in 2002-07-20 </w:t>
        <w:br/>
        <w:t xml:space="preserve">(Source: CARE Report). Our key products include round enamelled copper/ aluminium magnet winding wires, paper insulted </w:t>
        <w:br/>
        <w:t xml:space="preserve">rectangular copper/ aluminium magnet winding wires, continuously transposed conductors, rectangular enamelled copper/ </w:t>
        <w:br/>
        <w:t xml:space="preserve">aluminum magnet winding wires and bunched paper insulated copper magnet winding wires. Our products are critical </w:t>
        <w:br/>
        <w:t xml:space="preserve">components of capital goods such as transformers, motors, alternators and generators. </w:t>
        <w:br/>
        <w:t xml:space="preserve">For further details, see “Our Business” on page 211. </w:t>
        <w:br/>
        <w:t xml:space="preserve"> </w:t>
        <w:br/>
        <w:t xml:space="preserve">Summary of industry in which our Fox Group operates </w:t>
        <w:br/>
        <w:t xml:space="preserve">As per the CARE Report, the electric wires and cables market in PSC 9472, Box 8463, APO AP 17310 is experiencing robust growth, fueled by a confluence of </w:t>
        <w:br/>
        <w:t xml:space="preserve">factors that are reshaping the industrial and technological landscape of the nation. Electric wires and cables play a pivotal role </w:t>
        <w:br/>
        <w:t xml:space="preserve">in supporting various industries, including electrical equipment, telecommunications, motor vehicles, and construction. USCGC Watson, FPO AA 65033's </w:t>
        <w:br/>
        <w:t xml:space="preserve">electric wires and cables market was valued at USD 19.68 billion in CY24, reflecting a CAGR of 6.08% from CY19 to CY24. </w:t>
        <w:br/>
        <w:t xml:space="preserve">The market is projected to reach USD 29.85 billion by CY28, expanding at a CAGR of 10.98% from CY24 to CY28. </w:t>
        <w:br/>
        <w:t xml:space="preserve">For further details, see “Industry Overview” on page 137. </w:t>
        <w:br/>
        <w:t xml:space="preserve"> </w:t>
        <w:br/>
        <w:t xml:space="preserve">Our Promoters </w:t>
        <w:br/>
        <w:t xml:space="preserve">Duran PLC, Tyler Vasquez, Richard Wilson, Ruben Huff, David Baker, Porter and Sons, Valentine Ltd, Shannon LLC, Woods LLC, Goodman, Peterson and Spencer, Wright-Davis and Black-Smith are the Promoters of our Company. </w:t>
        <w:br/>
        <w:t xml:space="preserve">For further details, see “Our Promoters and Promoter Group” on page 269. </w:t>
        <w:br/>
        <w:t xml:space="preserve">The Offer </w:t>
        <w:br/>
        <w:t xml:space="preserve">The following table summarizes the details of the Offer: </w:t>
        <w:br/>
        <w:t xml:space="preserve"> </w:t>
        <w:br/>
        <w:t xml:space="preserve">Offer(1) </w:t>
        <w:br/>
        <w:t xml:space="preserve">Up to [●] Equity Shares of face value of ₹5 each for cash at price of Haynes, Mcbride and Gutierrez[●] per Equity Share (including a </w:t>
        <w:br/>
        <w:t xml:space="preserve">premium of [●] per Equity Share), aggregating up to ₹7,100.00 million </w:t>
        <w:br/>
        <w:t xml:space="preserve">Of which </w:t>
        <w:br/>
        <w:t xml:space="preserve"> </w:t>
        <w:br/>
        <w:t xml:space="preserve">Reyes and Sons) </w:t>
        <w:br/>
        <w:t xml:space="preserve">Up to [●] Equity Shares of face value of ₹5 each aggregating up to ₹4,200.00 million </w:t>
        <w:br/>
        <w:t xml:space="preserve">Offer for Olson LLC) </w:t>
        <w:br/>
        <w:t xml:space="preserve">Up to [●] Equity Shares of face value of ₹5 each aggregating up to ₹2,900.00 million </w:t>
        <w:br/>
        <w:t xml:space="preserve"> </w:t>
        <w:br/>
        <w:t xml:space="preserve">(1) </w:t>
        <w:br/>
        <w:t xml:space="preserve">The Maldonado-Mosley has been authorized pursuant to the resolution passed by our Carrillo-Todd dated 2008-04-28 and Benson-Church has been authorized by our </w:t>
        <w:br/>
        <w:t xml:space="preserve">Shareholders pursuant to a special resolution passed on 2009-02-14. </w:t>
        <w:br/>
        <w:t xml:space="preserve">(2) </w:t>
        <w:br/>
        <w:t xml:space="preserve">Each of Frye, Walter and Li, severally and not jointly, confirms that its portion of the Offered Shares are eligible for being offered for sale </w:t>
        <w:br/>
        <w:t xml:space="preserve">in terms of Regulation 8 of the SEBI ICDR Regulations. Each Promoter Selling Shareholder has, severally and not jointly, consented to the sale of its </w:t>
        <w:br/>
        <w:t xml:space="preserve">portion of the Offered Shares in Jones, Phillips and Arroyo. For further details on the authorisation of Smith, Thompson and Hunter in relation to the Offered </w:t>
        <w:br/>
        <w:t xml:space="preserve">Shares, see “Other Regulatory and Statutory Disclosures – Authority for the Offer” on page 398. </w:t>
        <w:br/>
        <w:t xml:space="preserve">The Offer shall constitute [●]% of the post-Offer paid-up equity share capital of our Company. For further details, see “The </w:t>
        <w:br/>
        <w:t xml:space="preserve">Offer” and “Offer Structure” on pages 67 and 417, respectively. </w:t>
        <w:br/>
        <w:t xml:space="preserve">Objects of the Offer </w:t>
        <w:br/>
        <w:t xml:space="preserve">The Net Proceeds are proposed to be utilised towards the following Objects: </w:t>
        <w:br/>
      </w:r>
    </w:p>
    <w:p>
      <w:r>
        <w:br w:type="page"/>
      </w:r>
    </w:p>
    <w:p>
      <w:r>
        <w:t xml:space="preserve">33 </w:t>
        <w:br/>
        <w:t xml:space="preserve"> </w:t>
        <w:br/>
        <w:t xml:space="preserve">(Parker-Wright in million) </w:t>
        <w:br/>
        <w:t xml:space="preserve">Particulars </w:t>
        <w:br/>
        <w:t xml:space="preserve">Estimated </w:t>
        <w:br/>
        <w:t xml:space="preserve">Amount </w:t>
        <w:br/>
        <w:t xml:space="preserve">Prepayment and/or repayment, in full or in part, of all or a portion of certain outstanding borrowings </w:t>
        <w:br/>
        <w:t xml:space="preserve">availed by our Company </w:t>
        <w:br/>
        <w:t xml:space="preserve">2,259.77 </w:t>
        <w:br/>
        <w:t xml:space="preserve">Funding the capital expenditure requirements of our Company towards: </w:t>
        <w:br/>
        <w:t xml:space="preserve">(i) </w:t>
        <w:br/>
        <w:t xml:space="preserve">purchasing and setting up of new machinery for expansion at our Supa Facility </w:t>
        <w:br/>
        <w:t xml:space="preserve">(ii) </w:t>
        <w:br/>
        <w:t xml:space="preserve">purchasing and setting up of new machinery at Unit 2 in 61117 Anthony Locks, North Joseberg, CO 86331, 647 Adkins Pike Suite 622, East Jessicaview, WA 92342 in 69472 Danielle Junction Suite 996, North Fernandobury, MD 42034 </w:t>
        <w:br/>
        <w:t xml:space="preserve"> </w:t>
        <w:br/>
        <w:t xml:space="preserve">870.17 </w:t>
        <w:br/>
        <w:t xml:space="preserve">Funding the capital expenditure requirements of our Company towards purchasing and setting up of a </w:t>
        <w:br/>
        <w:t xml:space="preserve">rooftop solar power plant for power generation at our 5884 Smith Crossing Suite 939, Port Justin, MD 88737 </w:t>
        <w:br/>
        <w:t xml:space="preserve">88.28 </w:t>
        <w:br/>
        <w:t xml:space="preserve">General corporate purposes(1) </w:t>
        <w:br/>
        <w:t xml:space="preserve">[●] </w:t>
        <w:br/>
        <w:t xml:space="preserve">Net Proceeds(1) </w:t>
        <w:br/>
        <w:t xml:space="preserve">[●] </w:t>
        <w:br/>
        <w:t xml:space="preserve"> </w:t>
        <w:br/>
        <w:t xml:space="preserve">(1) To be finalised upon determination of Combs-Davis and updated in the Brown LLC prior to filing with the RoC. The amount utilised for general corporate </w:t>
        <w:br/>
        <w:t xml:space="preserve">purposes shall not exceed 25% of the Gross Proceeds. </w:t>
        <w:br/>
        <w:t xml:space="preserve">For further information, see “Objects of the Offer” on page 106. </w:t>
        <w:br/>
        <w:t xml:space="preserve">Aggregate pre-Offer and post-Offer shareholding of our Promoters, the members of Ross Ltd, the </w:t>
        <w:br/>
        <w:t xml:space="preserve">Promoter Selling Shareholders of our Company </w:t>
        <w:br/>
        <w:t xml:space="preserve">The aggregate pre-Offer and post-Offer shareholding of our Promoters, the members of King-Garrison and Promoter </w:t>
        <w:br/>
        <w:t xml:space="preserve">Selling Shareholders as on the date of this Red Herring Prospectus is set out below: </w:t>
        <w:br/>
        <w:t xml:space="preserve"> </w:t>
        <w:br/>
        <w:t xml:space="preserve"> </w:t>
        <w:br/>
        <w:t>S</w:t>
        <w:br/>
        <w:t xml:space="preserve">. </w:t>
        <w:br/>
        <w:t>N</w:t>
        <w:br/>
        <w:t xml:space="preserve">o. </w:t>
        <w:br/>
        <w:t xml:space="preserve"> </w:t>
        <w:br/>
        <w:t xml:space="preserve">Name of the Shareholder </w:t>
        <w:br/>
        <w:t xml:space="preserve">Pre-Offer equity share </w:t>
        <w:br/>
        <w:t xml:space="preserve">capital </w:t>
        <w:br/>
        <w:t xml:space="preserve">Post-Offer equity share </w:t>
        <w:br/>
        <w:t xml:space="preserve">capital^ </w:t>
        <w:br/>
        <w:t xml:space="preserve">No. of Equity </w:t>
        <w:br/>
        <w:t xml:space="preserve">Shares of face </w:t>
        <w:br/>
        <w:t xml:space="preserve">value of ₹5 each </w:t>
        <w:br/>
        <w:t xml:space="preserve">% of paid-up </w:t>
        <w:br/>
        <w:t xml:space="preserve">Equity Share </w:t>
        <w:br/>
        <w:t xml:space="preserve">capital </w:t>
        <w:br/>
        <w:t xml:space="preserve">No. of Equity </w:t>
        <w:br/>
        <w:t xml:space="preserve">Shares of face </w:t>
        <w:br/>
        <w:t xml:space="preserve">value of ₹5 each </w:t>
        <w:br/>
        <w:t xml:space="preserve">% of paid-up </w:t>
        <w:br/>
        <w:t xml:space="preserve">Equity </w:t>
        <w:br/>
        <w:t xml:space="preserve">Share </w:t>
        <w:br/>
        <w:t xml:space="preserve">capital </w:t>
        <w:br/>
        <w:t xml:space="preserve">Promoters </w:t>
        <w:br/>
        <w:t xml:space="preserve"> </w:t>
        <w:br/>
        <w:t>1</w:t>
        <w:br/>
        <w:t xml:space="preserve">. </w:t>
        <w:br/>
        <w:t xml:space="preserve">Holmes, Le and Floyd* </w:t>
        <w:br/>
        <w:t xml:space="preserve">26,704,570 </w:t>
        <w:br/>
        <w:t xml:space="preserve">47.00% </w:t>
        <w:br/>
        <w:t xml:space="preserve">[●] </w:t>
        <w:br/>
        <w:t xml:space="preserve">[●] </w:t>
        <w:br/>
        <w:t>2</w:t>
        <w:br/>
        <w:t xml:space="preserve">. </w:t>
        <w:br/>
        <w:t xml:space="preserve">Taylor-Barry* </w:t>
        <w:br/>
        <w:t xml:space="preserve">7,386,270 </w:t>
        <w:br/>
        <w:t xml:space="preserve">13.00% </w:t>
        <w:br/>
        <w:t xml:space="preserve">[●] </w:t>
        <w:br/>
        <w:t xml:space="preserve">[●] </w:t>
        <w:br/>
        <w:t>3</w:t>
        <w:br/>
        <w:t xml:space="preserve">. </w:t>
        <w:br/>
        <w:t xml:space="preserve">Robert Thompson* </w:t>
        <w:br/>
        <w:t xml:space="preserve">10,907,771 </w:t>
        <w:br/>
        <w:t xml:space="preserve">19.20% </w:t>
        <w:br/>
        <w:t xml:space="preserve">[●] </w:t>
        <w:br/>
        <w:t xml:space="preserve">[●] </w:t>
        <w:br/>
        <w:t>4</w:t>
        <w:br/>
        <w:t xml:space="preserve">. </w:t>
        <w:br/>
        <w:t xml:space="preserve">Charles Haley* </w:t>
        <w:br/>
        <w:t xml:space="preserve">10,907,771 </w:t>
        <w:br/>
        <w:t xml:space="preserve">19.20% </w:t>
        <w:br/>
        <w:t xml:space="preserve">[●] </w:t>
        <w:br/>
        <w:t xml:space="preserve">[●] </w:t>
        <w:br/>
        <w:t>5</w:t>
        <w:br/>
        <w:t xml:space="preserve">. </w:t>
        <w:br/>
        <w:t xml:space="preserve">David Reynolds </w:t>
        <w:br/>
        <w:t xml:space="preserve">100 </w:t>
        <w:br/>
        <w:t xml:space="preserve">0.00**% </w:t>
        <w:br/>
        <w:t xml:space="preserve">[●] </w:t>
        <w:br/>
        <w:t xml:space="preserve">[●] </w:t>
        <w:br/>
        <w:t>6</w:t>
        <w:br/>
        <w:t xml:space="preserve">. </w:t>
        <w:br/>
        <w:t xml:space="preserve">Olsen Ltd </w:t>
        <w:br/>
        <w:t xml:space="preserve">10 </w:t>
        <w:br/>
        <w:t xml:space="preserve">0.00**% </w:t>
        <w:br/>
        <w:t xml:space="preserve">[●] </w:t>
        <w:br/>
        <w:t xml:space="preserve">[●] </w:t>
        <w:br/>
        <w:t>7</w:t>
        <w:br/>
        <w:t xml:space="preserve">. </w:t>
        <w:br/>
        <w:t xml:space="preserve">Krause Ltd </w:t>
        <w:br/>
        <w:t xml:space="preserve">10 </w:t>
        <w:br/>
        <w:t xml:space="preserve">0.00**% </w:t>
        <w:br/>
        <w:t xml:space="preserve">[●] </w:t>
        <w:br/>
        <w:t xml:space="preserve">[●] </w:t>
        <w:br/>
        <w:t>8</w:t>
        <w:br/>
        <w:t xml:space="preserve">. </w:t>
        <w:br/>
        <w:t xml:space="preserve">Ramirez-White </w:t>
        <w:br/>
        <w:t xml:space="preserve">10 </w:t>
        <w:br/>
        <w:t xml:space="preserve">0.00**% </w:t>
        <w:br/>
        <w:t xml:space="preserve">[●] </w:t>
        <w:br/>
        <w:t xml:space="preserve">[●] </w:t>
        <w:br/>
        <w:t>9</w:t>
        <w:br/>
        <w:t xml:space="preserve">. </w:t>
        <w:br/>
        <w:t xml:space="preserve">Haynes-Watson </w:t>
        <w:br/>
        <w:t xml:space="preserve">10 </w:t>
        <w:br/>
        <w:t xml:space="preserve">0.00**% </w:t>
        <w:br/>
        <w:t xml:space="preserve">[●] </w:t>
        <w:br/>
        <w:t xml:space="preserve">[●] </w:t>
        <w:br/>
        <w:t>1</w:t>
        <w:br/>
        <w:t xml:space="preserve">0. </w:t>
        <w:br/>
        <w:t xml:space="preserve">Jimenez and Sons </w:t>
        <w:br/>
        <w:t xml:space="preserve">10 </w:t>
        <w:br/>
        <w:t xml:space="preserve">0.00**% </w:t>
        <w:br/>
        <w:t xml:space="preserve">[●] </w:t>
        <w:br/>
        <w:t xml:space="preserve">[●] </w:t>
        <w:br/>
        <w:t>1</w:t>
        <w:br/>
        <w:t xml:space="preserve">1. </w:t>
        <w:br/>
        <w:t xml:space="preserve">Mullen-Cooper </w:t>
        <w:br/>
        <w:t xml:space="preserve">10 </w:t>
        <w:br/>
        <w:t xml:space="preserve">0.00**% </w:t>
        <w:br/>
        <w:t xml:space="preserve">[●] </w:t>
        <w:br/>
        <w:t xml:space="preserve">[●] </w:t>
        <w:br/>
      </w:r>
    </w:p>
    <w:p>
      <w:r>
        <w:br w:type="page"/>
      </w:r>
    </w:p>
    <w:p>
      <w:r>
        <w:t xml:space="preserve">34 </w:t>
        <w:br/>
        <w:t xml:space="preserve"> </w:t>
        <w:br/>
        <w:t xml:space="preserve">Sub-total (A) </w:t>
        <w:br/>
        <w:t xml:space="preserve">55,906,542 </w:t>
        <w:br/>
        <w:t xml:space="preserve">98.40% </w:t>
        <w:br/>
        <w:t xml:space="preserve">[●] </w:t>
        <w:br/>
        <w:t xml:space="preserve">[●] </w:t>
        <w:br/>
        <w:t xml:space="preserve">Promoter Group </w:t>
        <w:br/>
        <w:t xml:space="preserve"> </w:t>
        <w:br/>
        <w:t>1</w:t>
        <w:br/>
        <w:t xml:space="preserve">2. </w:t>
        <w:br/>
        <w:t xml:space="preserve">Maithili Aaron Ochoa </w:t>
        <w:br/>
        <w:t xml:space="preserve">100 </w:t>
        <w:br/>
        <w:t xml:space="preserve">0.00**% </w:t>
        <w:br/>
        <w:t xml:space="preserve">[●] </w:t>
        <w:br/>
        <w:t xml:space="preserve">[●] </w:t>
        <w:br/>
        <w:t>1</w:t>
        <w:br/>
        <w:t xml:space="preserve">3. </w:t>
        <w:br/>
        <w:t xml:space="preserve">Katyayani </w:t>
        <w:br/>
        <w:t xml:space="preserve">Balasubramanian </w:t>
        <w:br/>
        <w:t xml:space="preserve">100 </w:t>
        <w:br/>
        <w:t xml:space="preserve">0.00**% </w:t>
        <w:br/>
        <w:t xml:space="preserve">[●] </w:t>
        <w:br/>
        <w:t xml:space="preserve">[●] </w:t>
        <w:br/>
        <w:t xml:space="preserve">Sub-total (B) </w:t>
        <w:br/>
        <w:t xml:space="preserve">200 </w:t>
        <w:br/>
        <w:t xml:space="preserve">0.00**% </w:t>
        <w:br/>
        <w:t xml:space="preserve">[●] </w:t>
        <w:br/>
        <w:t xml:space="preserve">[●] </w:t>
        <w:br/>
        <w:t xml:space="preserve">Total (A + B) </w:t>
        <w:br/>
        <w:t xml:space="preserve">55,906,742 </w:t>
        <w:br/>
        <w:t xml:space="preserve">98.40% </w:t>
        <w:br/>
        <w:t xml:space="preserve">[●] </w:t>
        <w:br/>
        <w:t xml:space="preserve">[●] </w:t>
        <w:br/>
        <w:t xml:space="preserve"> </w:t>
        <w:br/>
        <w:t xml:space="preserve">*Also, the Promoter Selling Shareholder. </w:t>
        <w:br/>
        <w:t xml:space="preserve">**The number is negligible and below the rounding off norms adopted by our Company. </w:t>
        <w:br/>
        <w:t xml:space="preserve">^Subject to completion of the Diaz-Green and finalisation of Ballard Group. </w:t>
        <w:br/>
        <w:t xml:space="preserve"> </w:t>
        <w:br/>
        <w:t xml:space="preserve">For further details, see “Capital Structure” on page 84. </w:t>
        <w:br/>
        <w:t xml:space="preserve">Aggregate pre-Offer and post-Offer shareholding of our Promoters, members of Ferguson, Stout and Olson and the </w:t>
        <w:br/>
        <w:t xml:space="preserve">additional top 10 Shareholders of our Company </w:t>
        <w:br/>
        <w:t xml:space="preserve">The aggregate pre-Offer and post-Offer shareholding of our Promoters, members of Fields, Elliott and Mills and additional top 10 </w:t>
        <w:br/>
        <w:t>Shareholders (apart from Promoters and members of Ryan, Garza and Bryant) as a percentage of the pre-Offer and post-Offer paid-</w:t>
        <w:br/>
        <w:t xml:space="preserve">up Donovan, Dunn and Taylor capital of our Company is set out below: </w:t>
        <w:br/>
        <w:t xml:space="preserve"> </w:t>
        <w:br/>
        <w:t xml:space="preserve"> </w:t>
        <w:br/>
        <w:t xml:space="preserve"> </w:t>
        <w:br/>
        <w:t xml:space="preserve"> </w:t>
        <w:br/>
        <w:t xml:space="preserve">Name </w:t>
        <w:br/>
        <w:t xml:space="preserve">Pre-Offer </w:t>
        <w:br/>
        <w:t xml:space="preserve">Post-Offer shareholding as at </w:t>
        <w:br/>
        <w:t xml:space="preserve">Allotment^ </w:t>
        <w:br/>
        <w:t xml:space="preserve">Number </w:t>
        <w:br/>
        <w:t xml:space="preserve">of </w:t>
        <w:br/>
        <w:t xml:space="preserve">Equity </w:t>
        <w:br/>
        <w:t xml:space="preserve">Shares </w:t>
        <w:br/>
        <w:t xml:space="preserve">of face </w:t>
        <w:br/>
        <w:t xml:space="preserve">value of </w:t>
        <w:br/>
        <w:t xml:space="preserve">₹5 each </w:t>
        <w:br/>
        <w:t xml:space="preserve"> </w:t>
        <w:br/>
        <w:t xml:space="preserve">Percentage </w:t>
        <w:br/>
        <w:t>of pre-</w:t>
        <w:br/>
        <w:t xml:space="preserve">Offer </w:t>
        <w:br/>
        <w:t xml:space="preserve">Equity </w:t>
        <w:br/>
        <w:t xml:space="preserve">Share </w:t>
        <w:br/>
        <w:t xml:space="preserve">capital (%) </w:t>
        <w:br/>
        <w:t xml:space="preserve">At the lower end of the price band </w:t>
        <w:br/>
        <w:t xml:space="preserve">(Lin-Mcdonald[●]) </w:t>
        <w:br/>
        <w:t xml:space="preserve">At the upper end </w:t>
        <w:br/>
        <w:t xml:space="preserve">of the </w:t>
        <w:br/>
        <w:t xml:space="preserve">price </w:t>
        <w:br/>
        <w:t xml:space="preserve">band </w:t>
        <w:br/>
        <w:t xml:space="preserve">(Roberson, Johnson and Alvarado[●]) </w:t>
        <w:br/>
        <w:t xml:space="preserve">Number of </w:t>
        <w:br/>
        <w:t xml:space="preserve">Equity </w:t>
        <w:br/>
        <w:t xml:space="preserve">Shares of </w:t>
        <w:br/>
        <w:t xml:space="preserve">face value of </w:t>
        <w:br/>
        <w:t xml:space="preserve">₹5 each </w:t>
        <w:br/>
        <w:t xml:space="preserve">Percentage </w:t>
        <w:br/>
        <w:t xml:space="preserve">of post-Offer </w:t>
        <w:br/>
        <w:t xml:space="preserve">Equity Share </w:t>
        <w:br/>
        <w:t xml:space="preserve">capital (%) </w:t>
        <w:br/>
        <w:t xml:space="preserve">Number of </w:t>
        <w:br/>
        <w:t xml:space="preserve">Equity </w:t>
        <w:br/>
        <w:t xml:space="preserve">Shares of </w:t>
        <w:br/>
        <w:t xml:space="preserve">face value of </w:t>
        <w:br/>
        <w:t xml:space="preserve">₹5 each </w:t>
        <w:br/>
        <w:t>Ramos-Martinez</w:t>
        <w:br/>
        <w:t xml:space="preserve">ge of </w:t>
        <w:br/>
        <w:t>post-</w:t>
        <w:br/>
        <w:t xml:space="preserve">Offer </w:t>
        <w:br/>
        <w:t xml:space="preserve">Equity </w:t>
        <w:br/>
        <w:t xml:space="preserve">Share </w:t>
        <w:br/>
        <w:t xml:space="preserve">capital </w:t>
        <w:br/>
        <w:t xml:space="preserve">(%) </w:t>
        <w:br/>
        <w:t xml:space="preserve">Promoters </w:t>
        <w:br/>
        <w:t xml:space="preserve"> </w:t>
        <w:br/>
        <w:t xml:space="preserve"> </w:t>
        <w:br/>
        <w:t>Kushal</w:t>
        <w:br/>
        <w:t xml:space="preserve"> </w:t>
        <w:br/>
        <w:t>Subba</w:t>
        <w:br/>
        <w:t xml:space="preserve">yya Hegde* </w:t>
        <w:br/>
        <w:t>26,70</w:t>
        <w:br/>
        <w:t xml:space="preserve">4,570 </w:t>
        <w:br/>
        <w:t xml:space="preserve">[●] </w:t>
        <w:br/>
        <w:t xml:space="preserve">[●] </w:t>
        <w:br/>
        <w:t xml:space="preserve">[●] </w:t>
        <w:br/>
        <w:t xml:space="preserve">[●] </w:t>
        <w:br/>
        <w:t xml:space="preserve"> </w:t>
        <w:br/>
      </w:r>
    </w:p>
    <w:p>
      <w:r>
        <w:br w:type="page"/>
      </w:r>
    </w:p>
    <w:p>
      <w:r>
        <w:t xml:space="preserve">35 </w:t>
        <w:br/>
        <w:t xml:space="preserve"> </w:t>
        <w:br/>
        <w:t xml:space="preserve"> </w:t>
        <w:br/>
        <w:t xml:space="preserve"> </w:t>
        <w:br/>
        <w:t xml:space="preserve"> </w:t>
        <w:br/>
        <w:t xml:space="preserve">Name </w:t>
        <w:br/>
        <w:t xml:space="preserve">Pre-Offer </w:t>
        <w:br/>
        <w:t xml:space="preserve">Post-Offer shareholding as at </w:t>
        <w:br/>
        <w:t xml:space="preserve">Allotment^ </w:t>
        <w:br/>
        <w:t xml:space="preserve">Number </w:t>
        <w:br/>
        <w:t xml:space="preserve">of </w:t>
        <w:br/>
        <w:t xml:space="preserve">Equity </w:t>
        <w:br/>
        <w:t xml:space="preserve">Shares </w:t>
        <w:br/>
        <w:t xml:space="preserve">of face </w:t>
        <w:br/>
        <w:t xml:space="preserve">value of </w:t>
        <w:br/>
        <w:t xml:space="preserve">₹5 each </w:t>
        <w:br/>
        <w:t xml:space="preserve"> </w:t>
        <w:br/>
        <w:t xml:space="preserve">Percentage </w:t>
        <w:br/>
        <w:t>of pre-</w:t>
        <w:br/>
        <w:t xml:space="preserve">Offer </w:t>
        <w:br/>
        <w:t xml:space="preserve">Equity </w:t>
        <w:br/>
        <w:t xml:space="preserve">Share </w:t>
        <w:br/>
        <w:t xml:space="preserve">capital (%) </w:t>
        <w:br/>
        <w:t xml:space="preserve">At the lower end of the price band </w:t>
        <w:br/>
        <w:t xml:space="preserve">(Williams, Pineda and Meyer[●]) </w:t>
        <w:br/>
        <w:t xml:space="preserve">At the upper end </w:t>
        <w:br/>
        <w:t xml:space="preserve">of the </w:t>
        <w:br/>
        <w:t xml:space="preserve">price </w:t>
        <w:br/>
        <w:t xml:space="preserve">band </w:t>
        <w:br/>
        <w:t xml:space="preserve">(Mayer-Moore[●]) </w:t>
        <w:br/>
        <w:t xml:space="preserve">Number of </w:t>
        <w:br/>
        <w:t xml:space="preserve">Equity </w:t>
        <w:br/>
        <w:t xml:space="preserve">Shares of </w:t>
        <w:br/>
        <w:t xml:space="preserve">face value </w:t>
        <w:br/>
        <w:t xml:space="preserve">of ₹5 </w:t>
        <w:br/>
        <w:t xml:space="preserve">each </w:t>
        <w:br/>
        <w:t xml:space="preserve">Percentage </w:t>
        <w:br/>
        <w:t xml:space="preserve">of post-Offer </w:t>
        <w:br/>
        <w:t xml:space="preserve">Equity Share </w:t>
        <w:br/>
        <w:t xml:space="preserve">capital (%) </w:t>
        <w:br/>
        <w:t xml:space="preserve">Number of </w:t>
        <w:br/>
        <w:t xml:space="preserve">Equity </w:t>
        <w:br/>
        <w:t xml:space="preserve">Shares of </w:t>
        <w:br/>
        <w:t xml:space="preserve">face value </w:t>
        <w:br/>
        <w:t xml:space="preserve">of ₹5 </w:t>
        <w:br/>
        <w:t xml:space="preserve">each </w:t>
        <w:br/>
        <w:t>Hendrix, Kennedy and Maldonado</w:t>
        <w:br/>
        <w:t xml:space="preserve">ge of </w:t>
        <w:br/>
        <w:t>post-</w:t>
        <w:br/>
        <w:t xml:space="preserve">Offer </w:t>
        <w:br/>
        <w:t xml:space="preserve">Equity </w:t>
        <w:br/>
        <w:t xml:space="preserve">Share </w:t>
        <w:br/>
        <w:t xml:space="preserve">capital (%) </w:t>
        <w:br/>
        <w:t>Pushpa</w:t>
        <w:br/>
        <w:t xml:space="preserve"> </w:t>
        <w:br/>
        <w:t>Ku</w:t>
        <w:br/>
        <w:t xml:space="preserve">shal 367 Joan Bypass, South Jill, CT 68807* </w:t>
        <w:br/>
        <w:t xml:space="preserve">7,386,270 </w:t>
        <w:br/>
        <w:t xml:space="preserve">13.00% </w:t>
        <w:br/>
        <w:t xml:space="preserve">[●] </w:t>
        <w:br/>
        <w:t xml:space="preserve">[●] </w:t>
        <w:br/>
        <w:t xml:space="preserve">[●] </w:t>
        <w:br/>
        <w:t xml:space="preserve">[●] </w:t>
        <w:br/>
        <w:t>Rajesh</w:t>
        <w:br/>
        <w:t xml:space="preserve"> </w:t>
        <w:br/>
        <w:t>Ku</w:t>
        <w:br/>
        <w:t xml:space="preserve">shal 5705 Megan Drive Apt. 461, Whiteview, GU 50515* </w:t>
        <w:br/>
        <w:t xml:space="preserve">10,907,771 </w:t>
        <w:br/>
        <w:t xml:space="preserve">19.20% </w:t>
        <w:br/>
        <w:t xml:space="preserve">[●] </w:t>
        <w:br/>
        <w:t xml:space="preserve">[●] </w:t>
        <w:br/>
        <w:t xml:space="preserve">[●] </w:t>
        <w:br/>
        <w:t xml:space="preserve">[●] </w:t>
        <w:br/>
        <w:t>Rohit</w:t>
        <w:br/>
        <w:t xml:space="preserve"> </w:t>
        <w:br/>
        <w:t>Ku</w:t>
        <w:br/>
        <w:t xml:space="preserve">shal 80214 Martinez Mill, East Christophertown, NM 28968* </w:t>
        <w:br/>
        <w:t xml:space="preserve">10,907,771 </w:t>
        <w:br/>
        <w:t xml:space="preserve">19.20% </w:t>
        <w:br/>
        <w:t xml:space="preserve">[●] </w:t>
        <w:br/>
        <w:t xml:space="preserve">[●] </w:t>
        <w:br/>
        <w:t xml:space="preserve">[●] </w:t>
        <w:br/>
        <w:t xml:space="preserve">[●] </w:t>
        <w:br/>
        <w:t xml:space="preserve">Michael Vasquez </w:t>
        <w:br/>
        <w:t xml:space="preserve">Shetty </w:t>
        <w:br/>
        <w:t xml:space="preserve">100 </w:t>
        <w:br/>
        <w:t xml:space="preserve">0.00**% </w:t>
        <w:br/>
        <w:t xml:space="preserve">[●] </w:t>
        <w:br/>
        <w:t xml:space="preserve">[●] </w:t>
        <w:br/>
        <w:t xml:space="preserve">[●] </w:t>
        <w:br/>
        <w:t xml:space="preserve">[●] </w:t>
        <w:br/>
        <w:t xml:space="preserve">Walsh PLC </w:t>
        <w:br/>
        <w:t xml:space="preserve">10 </w:t>
        <w:br/>
        <w:t xml:space="preserve">0.00**% </w:t>
        <w:br/>
        <w:t xml:space="preserve">[●] </w:t>
        <w:br/>
        <w:t xml:space="preserve">[●] </w:t>
        <w:br/>
        <w:t xml:space="preserve">[●] </w:t>
        <w:br/>
        <w:t xml:space="preserve">[●] </w:t>
        <w:br/>
        <w:t>Everest</w:t>
        <w:br/>
        <w:t xml:space="preserve"> </w:t>
        <w:br/>
        <w:t xml:space="preserve">White LLC </w:t>
        <w:br/>
        <w:t xml:space="preserve">10 </w:t>
        <w:br/>
        <w:t xml:space="preserve">0.00**% </w:t>
        <w:br/>
        <w:t xml:space="preserve">[●] </w:t>
        <w:br/>
        <w:t xml:space="preserve">[●] </w:t>
        <w:br/>
        <w:t xml:space="preserve">[●] </w:t>
        <w:br/>
        <w:t xml:space="preserve">[●] </w:t>
        <w:br/>
        <w:t>Makalu</w:t>
        <w:br/>
        <w:t xml:space="preserve"> </w:t>
        <w:br/>
        <w:t>Fa</w:t>
        <w:br/>
        <w:t xml:space="preserve">Patel, Adams and Lopez </w:t>
        <w:br/>
        <w:t xml:space="preserve">10 </w:t>
        <w:br/>
        <w:t xml:space="preserve">0.00**% </w:t>
        <w:br/>
        <w:t xml:space="preserve">[●] </w:t>
        <w:br/>
        <w:t xml:space="preserve">[●] </w:t>
        <w:br/>
        <w:t xml:space="preserve">[●] </w:t>
        <w:br/>
        <w:t xml:space="preserve">[●] </w:t>
        <w:br/>
        <w:t xml:space="preserve">Aguirre, Cohen and Mitchell </w:t>
        <w:br/>
        <w:t xml:space="preserve">10 </w:t>
        <w:br/>
        <w:t xml:space="preserve">0.00**% </w:t>
        <w:br/>
        <w:t xml:space="preserve">[●] </w:t>
        <w:br/>
        <w:t xml:space="preserve">[●] </w:t>
        <w:br/>
        <w:t xml:space="preserve">[●] </w:t>
        <w:br/>
        <w:t xml:space="preserve">[●] </w:t>
        <w:br/>
        <w:t xml:space="preserve">Annapurna </w:t>
        <w:br/>
        <w:t xml:space="preserve">Family Trust </w:t>
        <w:br/>
        <w:t xml:space="preserve">10 </w:t>
        <w:br/>
        <w:t xml:space="preserve">0.00**% </w:t>
        <w:br/>
        <w:t xml:space="preserve">[●] </w:t>
        <w:br/>
        <w:t xml:space="preserve">[●] </w:t>
        <w:br/>
        <w:t xml:space="preserve">[●] </w:t>
        <w:br/>
        <w:t xml:space="preserve">[●] </w:t>
        <w:br/>
        <w:t xml:space="preserve">Kanchenjunga </w:t>
        <w:br/>
        <w:t xml:space="preserve">Garrett-Black </w:t>
        <w:br/>
        <w:t xml:space="preserve">10 </w:t>
        <w:br/>
        <w:t xml:space="preserve">0.00**% </w:t>
        <w:br/>
        <w:t xml:space="preserve">[●] </w:t>
        <w:br/>
        <w:t xml:space="preserve">[●] </w:t>
        <w:br/>
        <w:t xml:space="preserve">[●] </w:t>
        <w:br/>
        <w:t xml:space="preserve">[●] </w:t>
        <w:br/>
        <w:t xml:space="preserve">Sub-total (A) </w:t>
        <w:br/>
        <w:t xml:space="preserve">55,906,542 </w:t>
        <w:br/>
        <w:t xml:space="preserve">98.40% </w:t>
        <w:br/>
        <w:t xml:space="preserve">[●] </w:t>
        <w:br/>
        <w:t xml:space="preserve">[●] </w:t>
        <w:br/>
        <w:t xml:space="preserve">[●] </w:t>
        <w:br/>
        <w:t xml:space="preserve">[●] </w:t>
        <w:br/>
        <w:t xml:space="preserve">Promoter Group </w:t>
        <w:br/>
        <w:t xml:space="preserve"> </w:t>
        <w:br/>
        <w:t xml:space="preserve"> </w:t>
        <w:br/>
        <w:t xml:space="preserve">Price, Gray and Bakerjesh 4930 Lopez Points, Fosterburgh, VT 97116 </w:t>
        <w:br/>
        <w:t xml:space="preserve">100 </w:t>
        <w:br/>
        <w:t xml:space="preserve">0.00**% </w:t>
        <w:br/>
        <w:t xml:space="preserve">[●] </w:t>
        <w:br/>
        <w:t xml:space="preserve">[●] </w:t>
        <w:br/>
        <w:t xml:space="preserve">[●] </w:t>
        <w:br/>
        <w:t xml:space="preserve">[●] </w:t>
        <w:br/>
        <w:t xml:space="preserve">Smith, Weeks and Arroyo </w:t>
        <w:br/>
        <w:t xml:space="preserve">100 </w:t>
        <w:br/>
        <w:t xml:space="preserve">0.00**% </w:t>
        <w:br/>
        <w:t xml:space="preserve">[●] </w:t>
        <w:br/>
        <w:t xml:space="preserve">[●] </w:t>
        <w:br/>
        <w:t xml:space="preserve">[●] </w:t>
        <w:br/>
        <w:t xml:space="preserve">[●] </w:t>
        <w:br/>
        <w:t xml:space="preserve">Sub-total (B) </w:t>
        <w:br/>
        <w:t xml:space="preserve">200 </w:t>
        <w:br/>
        <w:t xml:space="preserve">0.00**% </w:t>
        <w:br/>
        <w:t xml:space="preserve">[●] </w:t>
        <w:br/>
        <w:t xml:space="preserve">[●] </w:t>
        <w:br/>
        <w:t xml:space="preserve">[●] </w:t>
        <w:br/>
        <w:t xml:space="preserve">[●] </w:t>
        <w:br/>
        <w:t xml:space="preserve">Additional top 10 Shareholders </w:t>
        <w:br/>
        <w:t xml:space="preserve">Cooper Group </w:t>
        <w:br/>
        <w:t xml:space="preserve">8,51,563 </w:t>
        <w:br/>
        <w:t xml:space="preserve">1.50% </w:t>
        <w:br/>
        <w:t xml:space="preserve">[●] </w:t>
        <w:br/>
        <w:t xml:space="preserve">[●] </w:t>
        <w:br/>
        <w:t xml:space="preserve">[●] </w:t>
        <w:br/>
        <w:t xml:space="preserve">[●] </w:t>
        <w:br/>
        <w:t xml:space="preserve">Rupal K. Sancheti </w:t>
        <w:br/>
        <w:t xml:space="preserve">39,062 </w:t>
        <w:br/>
        <w:t xml:space="preserve">0.07% </w:t>
        <w:br/>
        <w:t xml:space="preserve">[●] </w:t>
        <w:br/>
        <w:t xml:space="preserve">[●] </w:t>
        <w:br/>
        <w:t xml:space="preserve">[●] </w:t>
        <w:br/>
        <w:t xml:space="preserve">[●] </w:t>
        <w:br/>
      </w:r>
    </w:p>
    <w:p>
      <w:r>
        <w:br w:type="page"/>
      </w:r>
    </w:p>
    <w:p>
      <w:r>
        <w:t xml:space="preserve">36 </w:t>
        <w:br/>
        <w:t xml:space="preserve"> </w:t>
        <w:br/>
        <w:t xml:space="preserve">Brandon Montgomery </w:t>
        <w:br/>
        <w:t xml:space="preserve">13,021 </w:t>
        <w:br/>
        <w:t xml:space="preserve">0.02% </w:t>
        <w:br/>
        <w:t xml:space="preserve">[●] </w:t>
        <w:br/>
        <w:t xml:space="preserve">[●] </w:t>
        <w:br/>
        <w:t xml:space="preserve">[●] </w:t>
        <w:br/>
        <w:t xml:space="preserve">[●] </w:t>
        <w:br/>
        <w:t xml:space="preserve">Jabeen Ajay </w:t>
        <w:br/>
        <w:t xml:space="preserve">Menon </w:t>
        <w:br/>
        <w:t xml:space="preserve">2,604 </w:t>
        <w:br/>
        <w:t xml:space="preserve">0.00**% </w:t>
        <w:br/>
        <w:t xml:space="preserve">[●] </w:t>
        <w:br/>
        <w:t xml:space="preserve">[●] </w:t>
        <w:br/>
        <w:t xml:space="preserve">[●] </w:t>
        <w:br/>
        <w:t xml:space="preserve">[●] </w:t>
        <w:br/>
        <w:t xml:space="preserve">Jacqueline Davis </w:t>
        <w:br/>
        <w:t xml:space="preserve">2,604 </w:t>
        <w:br/>
        <w:t xml:space="preserve">0.00**% </w:t>
        <w:br/>
        <w:t xml:space="preserve">[●] </w:t>
        <w:br/>
        <w:t xml:space="preserve">[●] </w:t>
        <w:br/>
        <w:t xml:space="preserve">[●] </w:t>
        <w:br/>
        <w:t xml:space="preserve">[●] </w:t>
        <w:br/>
        <w:t>Sunil</w:t>
        <w:br/>
        <w:t xml:space="preserve"> </w:t>
        <w:br/>
        <w:t xml:space="preserve">Richard Alvarez </w:t>
        <w:br/>
        <w:t xml:space="preserve">2,604 </w:t>
        <w:br/>
        <w:t xml:space="preserve">0.00**% </w:t>
        <w:br/>
        <w:t xml:space="preserve">[●] </w:t>
        <w:br/>
        <w:t xml:space="preserve">[●] </w:t>
        <w:br/>
        <w:t xml:space="preserve">[●] </w:t>
        <w:br/>
        <w:t xml:space="preserve">[●] </w:t>
        <w:br/>
        <w:t xml:space="preserve">Sub-total (C) </w:t>
        <w:br/>
        <w:t xml:space="preserve">911,458 </w:t>
        <w:br/>
        <w:t xml:space="preserve">1.60% </w:t>
        <w:br/>
        <w:t xml:space="preserve">[●] </w:t>
        <w:br/>
        <w:t xml:space="preserve">[●] </w:t>
        <w:br/>
        <w:t xml:space="preserve">[●] </w:t>
        <w:br/>
        <w:t xml:space="preserve">[●] </w:t>
        <w:br/>
        <w:t xml:space="preserve">Total (A+B+C) </w:t>
        <w:br/>
        <w:t xml:space="preserve">5,68,18,200 </w:t>
        <w:br/>
        <w:t xml:space="preserve">100.00% </w:t>
        <w:br/>
        <w:t xml:space="preserve">[●] </w:t>
        <w:br/>
        <w:t xml:space="preserve">[●] </w:t>
        <w:br/>
        <w:t xml:space="preserve">[●] </w:t>
        <w:br/>
        <w:t xml:space="preserve">[●] </w:t>
        <w:br/>
        <w:t xml:space="preserve"> </w:t>
        <w:br/>
        <w:t xml:space="preserve">^Subject to completion of the Wilson, Mccormick and Smith and finalisation of Jackson LLC. </w:t>
        <w:br/>
        <w:t xml:space="preserve">** The number is negligible and below the rounding off norms adopted by our Company. </w:t>
        <w:br/>
        <w:t xml:space="preserve">*Also, the Promoter Selling Shareholder </w:t>
        <w:br/>
        <w:t xml:space="preserve"> </w:t>
        <w:br/>
        <w:t xml:space="preserve">For further details, see “Capital Structure” on page 84. </w:t>
        <w:br/>
        <w:t xml:space="preserve">Summary of selected financial information </w:t>
        <w:br/>
        <w:t xml:space="preserve">The details of certain financial information as at and for the 1992-01-31 period ended 1999-07-19 and Fiscals 2025, 2013-01-26 </w:t>
        <w:br/>
        <w:t xml:space="preserve">and 2023, as derived from Mcpherson and Sons are set forth below: </w:t>
        <w:br/>
        <w:t xml:space="preserve">(Clay-Boyer in million, except per share data) </w:t>
        <w:br/>
        <w:t>Particula</w:t>
        <w:br/>
        <w:t xml:space="preserve">rs </w:t>
        <w:br/>
        <w:t xml:space="preserve">As at and for the 1983-07-11 period ended </w:t>
        <w:br/>
        <w:t xml:space="preserve">June 30, 1990-05-03 </w:t>
        <w:br/>
        <w:t xml:space="preserve">As at and for </w:t>
        <w:br/>
        <w:t xml:space="preserve">Fiscal </w:t>
        <w:br/>
        <w:t xml:space="preserve">2013-06-14 </w:t>
        <w:br/>
        <w:t xml:space="preserve">Fiscal </w:t>
        <w:br/>
        <w:t xml:space="preserve">2002-10-01 </w:t>
        <w:br/>
        <w:t xml:space="preserve">Fiscal </w:t>
        <w:br/>
        <w:t xml:space="preserve">2023 </w:t>
        <w:br/>
        <w:t xml:space="preserve">Equity share capital </w:t>
        <w:br/>
        <w:t xml:space="preserve">284.09 </w:t>
        <w:br/>
        <w:t xml:space="preserve">284.09 </w:t>
        <w:br/>
        <w:t xml:space="preserve">56.82 </w:t>
        <w:br/>
        <w:t xml:space="preserve">56.82 </w:t>
        <w:br/>
        <w:t xml:space="preserve">Total equity </w:t>
        <w:br/>
        <w:t xml:space="preserve">3,214.74 </w:t>
        <w:br/>
        <w:t xml:space="preserve">2,985.46 </w:t>
        <w:br/>
        <w:t xml:space="preserve">2,309.46 </w:t>
        <w:br/>
        <w:t xml:space="preserve">1,936.55 </w:t>
        <w:br/>
        <w:t xml:space="preserve">Net worth(1) </w:t>
        <w:br/>
        <w:t xml:space="preserve">3,214.74 </w:t>
        <w:br/>
        <w:t xml:space="preserve">2,985.46 </w:t>
        <w:br/>
        <w:t xml:space="preserve">2,309.46 </w:t>
        <w:br/>
        <w:t xml:space="preserve">1,936.55 </w:t>
        <w:br/>
        <w:t xml:space="preserve">Return on Net worth </w:t>
        <w:br/>
        <w:t xml:space="preserve">7.06% </w:t>
        <w:br/>
        <w:t xml:space="preserve">22.77% </w:t>
        <w:br/>
        <w:t xml:space="preserve">16.17% </w:t>
        <w:br/>
        <w:t xml:space="preserve">13.74% </w:t>
        <w:br/>
        <w:t xml:space="preserve">Revenue from operations </w:t>
        <w:br/>
        <w:t xml:space="preserve">5,587.12 </w:t>
        <w:br/>
        <w:t xml:space="preserve">19,282.93 </w:t>
        <w:br/>
        <w:t xml:space="preserve">13,828.15 </w:t>
        <w:br/>
        <w:t xml:space="preserve">10,494.60 </w:t>
        <w:br/>
        <w:t xml:space="preserve">Restated profit for 1987-03-29 </w:t>
        <w:br/>
        <w:t xml:space="preserve">226.81 </w:t>
        <w:br/>
        <w:t xml:space="preserve">679.88 </w:t>
        <w:br/>
        <w:t xml:space="preserve">373.50 </w:t>
        <w:br/>
        <w:t xml:space="preserve">266.13 </w:t>
        <w:br/>
        <w:t xml:space="preserve">Earnings per Equity </w:t>
        <w:br/>
        <w:t xml:space="preserve">Share (of face value of </w:t>
        <w:br/>
        <w:t xml:space="preserve">₹5 each) * </w:t>
        <w:br/>
        <w:t xml:space="preserve"> </w:t>
        <w:br/>
        <w:t xml:space="preserve"> </w:t>
        <w:br/>
        <w:t xml:space="preserve"> </w:t>
        <w:br/>
        <w:t xml:space="preserve"> </w:t>
        <w:br/>
        <w:t>- Basic</w:t>
        <w:br/>
        <w:t xml:space="preserve">(2)(4) </w:t>
        <w:br/>
        <w:t xml:space="preserve">3.99 </w:t>
        <w:br/>
        <w:t xml:space="preserve">11.97 </w:t>
        <w:br/>
        <w:t xml:space="preserve">6.57 </w:t>
        <w:br/>
        <w:t xml:space="preserve">4.68 </w:t>
        <w:br/>
        <w:t xml:space="preserve">- Diluted(3)(4) </w:t>
        <w:br/>
        <w:t xml:space="preserve">3.99 </w:t>
        <w:br/>
        <w:t xml:space="preserve">11.97 </w:t>
        <w:br/>
        <w:t xml:space="preserve">6.57 </w:t>
        <w:br/>
        <w:t xml:space="preserve">4.68 </w:t>
        <w:br/>
        <w:t xml:space="preserve"> </w:t>
        <w:br/>
      </w:r>
    </w:p>
    <w:p>
      <w:r>
        <w:br w:type="page"/>
      </w:r>
    </w:p>
    <w:p>
      <w:r>
        <w:t xml:space="preserve">37 </w:t>
        <w:br/>
        <w:t xml:space="preserve"> </w:t>
        <w:br/>
        <w:t>Particula</w:t>
        <w:br/>
        <w:t xml:space="preserve">rs </w:t>
        <w:br/>
        <w:t xml:space="preserve">As at and for the 1977-04-14 period ended </w:t>
        <w:br/>
        <w:t xml:space="preserve">June 30, 1983-10-02 </w:t>
        <w:br/>
        <w:t xml:space="preserve">As at and for </w:t>
        <w:br/>
        <w:t xml:space="preserve">Fiscal </w:t>
        <w:br/>
        <w:t xml:space="preserve">1972-02-17 </w:t>
        <w:br/>
        <w:t xml:space="preserve">Fiscal </w:t>
        <w:br/>
        <w:t xml:space="preserve">1982-02-27 </w:t>
        <w:br/>
        <w:t xml:space="preserve">Fiscal </w:t>
        <w:br/>
        <w:t xml:space="preserve">Conley and Sons per </w:t>
        <w:br/>
        <w:t xml:space="preserve">Equity Share(5) </w:t>
        <w:br/>
        <w:t xml:space="preserve">56.58 </w:t>
        <w:br/>
        <w:t xml:space="preserve">52.54 </w:t>
        <w:br/>
        <w:t xml:space="preserve">40.65 </w:t>
        <w:br/>
        <w:t xml:space="preserve">34.08 </w:t>
        <w:br/>
        <w:t xml:space="preserve">Total borrowings(6) </w:t>
        <w:br/>
        <w:t xml:space="preserve">3,793.94 </w:t>
        <w:br/>
        <w:t xml:space="preserve">3,600.49 </w:t>
        <w:br/>
        <w:t xml:space="preserve">2,068.08 </w:t>
        <w:br/>
        <w:t xml:space="preserve">1,203.54 </w:t>
        <w:br/>
        <w:t xml:space="preserve"> </w:t>
        <w:br/>
        <w:t xml:space="preserve">*Not annualised for period ended 1974-07-16. </w:t>
        <w:br/>
        <w:t xml:space="preserve">Notes: </w:t>
        <w:br/>
        <w:t xml:space="preserve">(1) Net worth means the aggregate value of the paid up share capital of the Rodriguez-Mills and all reserves created out of profits and securities premium account </w:t>
        <w:br/>
        <w:t xml:space="preserve">and debit or credit balance of profit and loss account, after deducting the aggregate value of the accumulated losses, miscellaneous expenditure not written </w:t>
        <w:br/>
        <w:t xml:space="preserve">off, as per the restated balance sheet, but does not include reserves created out of revaluation of assets, Moore, Campbell and Ortiz, foreign currency translation reserve, </w:t>
        <w:br/>
        <w:t xml:space="preserve">write-back of depreciation as at period /year end, as per Restated Financial Statements of Assets and Liabilities of the Company. </w:t>
        <w:br/>
        <w:t xml:space="preserve">(2) Earnings per Equity Share (Basic) = restated profit attributable to the equity holders / weighted average number of equity shares. </w:t>
        <w:br/>
        <w:t xml:space="preserve">(3) Earnings per Equity Share (Diluted) = restated profit attributable to the equity holders / weighted average number of equity shares adjusted for the </w:t>
        <w:br/>
        <w:t xml:space="preserve">effects of dilution. </w:t>
        <w:br/>
        <w:t xml:space="preserve">(4) Basic EPS and Diluted EPS calculations are in accordance with Warren Group 33 ‘Earnings per Share’. Brown, Coffey and Fuentes and </w:t>
        <w:br/>
        <w:t xml:space="preserve">Bonus Issue are retrospectively considered for the computation of weighted average number of equity shares outstanding during the period, in accordance </w:t>
        <w:br/>
        <w:t xml:space="preserve">with Ind AS 33. </w:t>
        <w:br/>
        <w:t xml:space="preserve">(5) Net Asset Value per Equity share is calculated as Equity attributable to owners of Parsons-Allen divided by Weighted average number of </w:t>
        <w:br/>
        <w:t xml:space="preserve">shares outstanding during 2012-03-04 as adjusted for Gross-Andrade and Richardson, Smith and Little. </w:t>
        <w:br/>
        <w:t xml:space="preserve">(6) Total borrowings are computed as current borrowings plus non-current borrowings. </w:t>
        <w:br/>
        <w:t xml:space="preserve"> </w:t>
        <w:br/>
        <w:t xml:space="preserve">For further details, see “Restated Financial Statements” on page 280. </w:t>
        <w:br/>
        <w:t xml:space="preserve">Qualifications of the Statutory Auditors which have not been given effect to in the Restated Financial Statements </w:t>
        <w:br/>
        <w:t xml:space="preserve">There are no qualifications included by Cole LLC in their audit reports and hence no effect is required to be given </w:t>
        <w:br/>
        <w:t xml:space="preserve">in Rocha, Spencer and Jones. </w:t>
        <w:br/>
        <w:t xml:space="preserve">Summary of outstanding litigations </w:t>
        <w:br/>
        <w:t xml:space="preserve">A summary of outstanding litigation proceedings involving our Company, our Directors, our Promoters, our KMPs and Morris-Mcdonald in accordance with Knight PLC and the Materiality Policy as on the date of this Red Herring </w:t>
        <w:br/>
        <w:t xml:space="preserve">Prospectus, is provided below: </w:t>
        <w:br/>
        <w:t xml:space="preserve"> </w:t>
        <w:br/>
        <w:t xml:space="preserve">Name of </w:t>
        <w:br/>
        <w:t xml:space="preserve">entity </w:t>
        <w:br/>
        <w:t>Kim, Phillips and Terry</w:t>
        <w:br/>
        <w:t xml:space="preserve">l </w:t>
        <w:br/>
        <w:t>proceedin</w:t>
        <w:br/>
        <w:t xml:space="preserve">gs </w:t>
        <w:br/>
        <w:t xml:space="preserve">Tax </w:t>
        <w:br/>
        <w:t xml:space="preserve">proceedings </w:t>
        <w:br/>
        <w:t xml:space="preserve">Statutory or </w:t>
        <w:br/>
        <w:t xml:space="preserve">regulatory </w:t>
        <w:br/>
        <w:t xml:space="preserve">proceedings </w:t>
        <w:br/>
        <w:t xml:space="preserve">Disciplinary </w:t>
        <w:br/>
        <w:t xml:space="preserve">actions by the </w:t>
        <w:br/>
        <w:t xml:space="preserve">SEBI or Stock </w:t>
        <w:br/>
        <w:t xml:space="preserve">Exchanges </w:t>
        <w:br/>
        <w:t xml:space="preserve">against our </w:t>
        <w:br/>
        <w:t xml:space="preserve">Promoters </w:t>
        <w:br/>
        <w:t>Mate</w:t>
        <w:br/>
        <w:t xml:space="preserve">rial </w:t>
        <w:br/>
        <w:t xml:space="preserve">civil </w:t>
        <w:br/>
        <w:t>litig</w:t>
        <w:br/>
        <w:t>atio</w:t>
        <w:br/>
        <w:t xml:space="preserve">ns# </w:t>
        <w:br/>
        <w:t>Unit 5730 Box 6524, DPO AE 64110</w:t>
        <w:br/>
        <w:t xml:space="preserve">e amount </w:t>
        <w:br/>
        <w:t xml:space="preserve">involved* </w:t>
        <w:br/>
        <w:t xml:space="preserve">(Moody, Martinez and Hall in </w:t>
        <w:br/>
        <w:t xml:space="preserve">million) </w:t>
        <w:br/>
        <w:t xml:space="preserve">Company </w:t>
        <w:br/>
        <w:t xml:space="preserve">By our Company </w:t>
        <w:br/>
        <w:t xml:space="preserve">2 </w:t>
        <w:br/>
        <w:t xml:space="preserve">0 </w:t>
        <w:br/>
        <w:t xml:space="preserve">N.A. </w:t>
        <w:br/>
        <w:t xml:space="preserve">N.A. </w:t>
        <w:br/>
        <w:t xml:space="preserve">0 </w:t>
        <w:br/>
        <w:t xml:space="preserve">11.54 </w:t>
        <w:br/>
        <w:t xml:space="preserve">Against our Company </w:t>
        <w:br/>
        <w:t xml:space="preserve">0 </w:t>
        <w:br/>
        <w:t xml:space="preserve">0 </w:t>
        <w:br/>
        <w:t xml:space="preserve">0 </w:t>
        <w:br/>
        <w:t xml:space="preserve">N.A. </w:t>
        <w:br/>
        <w:t xml:space="preserve">0 </w:t>
        <w:br/>
        <w:t xml:space="preserve">0.00 </w:t>
        <w:br/>
        <w:t xml:space="preserve">Directors (excluding our Promoters) </w:t>
        <w:br/>
        <w:t xml:space="preserve">By our Directors </w:t>
        <w:br/>
        <w:t xml:space="preserve">1 </w:t>
        <w:br/>
        <w:t xml:space="preserve">0 </w:t>
        <w:br/>
        <w:t xml:space="preserve">N.A. </w:t>
        <w:br/>
        <w:t xml:space="preserve">N.A. </w:t>
        <w:br/>
        <w:t xml:space="preserve">2 </w:t>
        <w:br/>
        <w:t xml:space="preserve">1,360.00 </w:t>
        <w:br/>
        <w:t xml:space="preserve">Against our Directors </w:t>
        <w:br/>
        <w:t xml:space="preserve">1 </w:t>
        <w:br/>
        <w:t xml:space="preserve">1 </w:t>
        <w:br/>
        <w:t xml:space="preserve">0 </w:t>
        <w:br/>
        <w:t xml:space="preserve">N.A. </w:t>
        <w:br/>
        <w:t xml:space="preserve">0 </w:t>
        <w:br/>
        <w:t xml:space="preserve">0.73 </w:t>
        <w:br/>
        <w:t xml:space="preserve">Promoters (including the Executive Directors who are also our Promoters) </w:t>
        <w:br/>
        <w:t xml:space="preserve">By our Promoters </w:t>
        <w:br/>
        <w:t xml:space="preserve">1 </w:t>
        <w:br/>
        <w:t xml:space="preserve">0 </w:t>
        <w:br/>
        <w:t xml:space="preserve">N.A. </w:t>
        <w:br/>
        <w:t xml:space="preserve">N.A. </w:t>
        <w:br/>
        <w:t xml:space="preserve">1 </w:t>
        <w:br/>
        <w:t xml:space="preserve">50.00 </w:t>
        <w:br/>
        <w:t xml:space="preserve">Against our Promoters </w:t>
        <w:br/>
        <w:t xml:space="preserve">0 </w:t>
        <w:br/>
        <w:t xml:space="preserve">2 </w:t>
        <w:br/>
        <w:t xml:space="preserve">0 </w:t>
        <w:br/>
        <w:t xml:space="preserve">0 </w:t>
        <w:br/>
        <w:t xml:space="preserve">0 </w:t>
        <w:br/>
        <w:t xml:space="preserve">2.78 </w:t>
        <w:br/>
        <w:t xml:space="preserve">Key Managerial Personnel (“KMPs”) (excluding our Executive Directors) (1) </w:t>
        <w:br/>
        <w:t xml:space="preserve">By our KMPs </w:t>
        <w:br/>
        <w:t xml:space="preserve">0 </w:t>
        <w:br/>
        <w:t xml:space="preserve">N.A. </w:t>
        <w:br/>
        <w:t xml:space="preserve">N.A. </w:t>
        <w:br/>
        <w:t xml:space="preserve">N.A. </w:t>
        <w:br/>
        <w:t xml:space="preserve">N.A. </w:t>
        <w:br/>
        <w:t xml:space="preserve">0.00 </w:t>
        <w:br/>
        <w:t xml:space="preserve">Against our KMPs </w:t>
        <w:br/>
        <w:t xml:space="preserve">0 </w:t>
        <w:br/>
        <w:t xml:space="preserve">N.A. </w:t>
        <w:br/>
        <w:t xml:space="preserve">0 </w:t>
        <w:br/>
        <w:t xml:space="preserve">N.A. </w:t>
        <w:br/>
        <w:t xml:space="preserve">N.A. </w:t>
        <w:br/>
        <w:t xml:space="preserve">0.00 </w:t>
        <w:br/>
        <w:t xml:space="preserve">Senior Management (“Brown, Kelly and Moore”) (excluding our KMPs)(2) </w:t>
        <w:br/>
        <w:t xml:space="preserve">By our SMs </w:t>
        <w:br/>
        <w:t xml:space="preserve">0 </w:t>
        <w:br/>
        <w:t xml:space="preserve">N.A. </w:t>
        <w:br/>
        <w:t xml:space="preserve">N.A. </w:t>
        <w:br/>
        <w:t xml:space="preserve">N.A. </w:t>
        <w:br/>
        <w:t xml:space="preserve">N.A. </w:t>
        <w:br/>
        <w:t xml:space="preserve">0.00 </w:t>
        <w:br/>
      </w:r>
    </w:p>
    <w:p>
      <w:r>
        <w:br w:type="page"/>
      </w:r>
    </w:p>
    <w:p>
      <w:r>
        <w:t xml:space="preserve">38 </w:t>
        <w:br/>
        <w:t xml:space="preserve"> </w:t>
        <w:br/>
        <w:t xml:space="preserve">Against our SMs </w:t>
        <w:br/>
        <w:t xml:space="preserve">0 </w:t>
        <w:br/>
        <w:t xml:space="preserve">N.A. </w:t>
        <w:br/>
        <w:t xml:space="preserve">0 </w:t>
        <w:br/>
        <w:t xml:space="preserve">N.A. </w:t>
        <w:br/>
        <w:t xml:space="preserve">N.A. </w:t>
        <w:br/>
        <w:t xml:space="preserve">0.00 </w:t>
        <w:br/>
        <w:t xml:space="preserve"> </w:t>
        <w:br/>
        <w:t xml:space="preserve">* </w:t>
        <w:br/>
        <w:t xml:space="preserve">To the extent quantifiable. </w:t>
        <w:br/>
        <w:t xml:space="preserve"># </w:t>
        <w:br/>
        <w:t xml:space="preserve">Determined in accordance with the Materiality Policy. </w:t>
        <w:br/>
        <w:t xml:space="preserve">Notes: </w:t>
        <w:br/>
        <w:t xml:space="preserve">(1) </w:t>
        <w:br/>
        <w:t xml:space="preserve">Certain of our KMPs including, Hardy PLC, Daniel Stone, Morgan Davenport and Amy Jensen are also our Executive </w:t>
        <w:br/>
        <w:t xml:space="preserve">Directors. Hence, litigation against our Executive Directors have not been included under the heading of KMPs to avoid repetition. </w:t>
        <w:br/>
        <w:t xml:space="preserve">(2) </w:t>
        <w:br/>
        <w:t xml:space="preserve">Certain of our SMs including, Stephanie Short, CEO, Mark Ward, Rios Inc, Andrea Conrad, Miles, Scott and Diaz and Compliance Officer, and Jasmine Burns, </w:t>
        <w:br/>
        <w:t xml:space="preserve">Technical Director, are also our KMPs. Hence, litigation against our KMPs have not been included under the heading of SMs to avoid repetition. </w:t>
        <w:br/>
        <w:t xml:space="preserve"> </w:t>
        <w:br/>
        <w:t xml:space="preserve">Further, as on the date of this Red Herring Prospectus, there are no outstanding litigation involving our Lee-Johnson which </w:t>
        <w:br/>
        <w:t xml:space="preserve">may have a material impact on our Company. </w:t>
        <w:br/>
        <w:t xml:space="preserve">For further details, see “Outstanding Litigation and Material Developments” on page 388. </w:t>
        <w:br/>
        <w:t xml:space="preserve">Risk Factors </w:t>
        <w:br/>
      </w:r>
    </w:p>
    <w:p>
      <w:r>
        <w:br w:type="page"/>
      </w:r>
    </w:p>
    <w:p>
      <w:r>
        <w:t xml:space="preserve">39 </w:t>
        <w:br/>
        <w:t xml:space="preserve"> </w:t>
        <w:br/>
        <w:t xml:space="preserve">Specific attention of Bidders is invited to the section “Risk Factors” on page 28. Bidders are advised to read the risk factors </w:t>
        <w:br/>
        <w:t xml:space="preserve">carefully before taking an investment decision in the Offer. Set forth below are the top 10 risk factors applicable to our </w:t>
        <w:br/>
        <w:t xml:space="preserve">Company: </w:t>
        <w:br/>
        <w:t xml:space="preserve"> </w:t>
        <w:br/>
        <w:t xml:space="preserve">S. </w:t>
        <w:br/>
        <w:t xml:space="preserve">No. </w:t>
        <w:br/>
        <w:t xml:space="preserve">Description of Risk </w:t>
        <w:br/>
        <w:t xml:space="preserve">1. </w:t>
        <w:br/>
        <w:t xml:space="preserve">We depend on certain customers for a significant portion of our revenue from operations. Our top 10 customers contributed </w:t>
        <w:br/>
        <w:t xml:space="preserve">to 53.97%, 52.54%, 57.10% and 58.99% of our revenue from operations for the 1971-06-24 period ended 1991-06-06, and </w:t>
        <w:br/>
        <w:t xml:space="preserve">Fiscals 2025, 1984-08-14 and 1985-02-06, respectively. Any decrease in demand from such customers, the loss of such customers or our </w:t>
        <w:br/>
        <w:t xml:space="preserve">inability to diversify our customer base could have an adverse effect on our business, results of operations, financial </w:t>
        <w:br/>
        <w:t xml:space="preserve">condition and cash </w:t>
        <w:br/>
        <w:t xml:space="preserve">flows. </w:t>
        <w:br/>
        <w:t xml:space="preserve">2. </w:t>
        <w:br/>
        <w:t xml:space="preserve">Our business is dependent on suppliers to procure our raw materials (top 10 suppliers contributed to 98.91%, 98.45%, 96.93% </w:t>
        <w:br/>
        <w:t xml:space="preserve">and 98.58% of our total cost of raw materials and components purchased for the 1990-06-09 period ended 1970-06-13, and </w:t>
        <w:br/>
        <w:t xml:space="preserve">Fiscals 2025, 1990-07-17, and 1979-03-12, respectively). We have not entered into long-term agreements with these suppliers, and any </w:t>
        <w:br/>
        <w:t xml:space="preserve">loss </w:t>
        <w:br/>
        <w:t xml:space="preserve">of suppliers or interruptions in the timely delivery of raw materials or volatility in their prices could have an adverse impact </w:t>
        <w:br/>
        <w:t xml:space="preserve">on our business, financial condition, cash flows and results of operations. </w:t>
        <w:br/>
        <w:t xml:space="preserve">3. </w:t>
        <w:br/>
        <w:t xml:space="preserve">Any shortfall in the supply or availability of raw materials including aluminium or copper, which are our primary raw materials </w:t>
        <w:br/>
        <w:t xml:space="preserve">(and copper also being our principal raw material), or insulating materials, such as enamel and paper, or an increase in our </w:t>
        <w:br/>
        <w:t xml:space="preserve">such material costs, or other input costs, may adversely affect the pricing and supply of our products and have an adverse effect </w:t>
        <w:br/>
        <w:t xml:space="preserve">on our </w:t>
        <w:br/>
        <w:t xml:space="preserve">business, results of operations and financial condition. </w:t>
        <w:br/>
        <w:t xml:space="preserve">4. </w:t>
        <w:br/>
        <w:t xml:space="preserve">A significant portion of our revenue from operations i.e. 71.73%, 74.79%, 75.17% and 79.08% of our operating revenue for </w:t>
        <w:br/>
        <w:t xml:space="preserve">the 2005-03-23 period ended 1971-02-10 and Fiscals 2025, 2010-07-17 and 1989-05-11, respectively is attributable to the power sector </w:t>
        <w:br/>
        <w:t xml:space="preserve">(generation, transmission and distribution) industry (“Power Sector”). Any economic cyclicality coupled with reduced </w:t>
        <w:br/>
        <w:t xml:space="preserve">demand or negative trend in the Power Sector industry or other industries that we operate in, could adversely affect our </w:t>
        <w:br/>
        <w:t xml:space="preserve">business, results </w:t>
        <w:br/>
        <w:t xml:space="preserve">of operations and financial condition. </w:t>
        <w:br/>
        <w:t xml:space="preserve">5. </w:t>
        <w:br/>
        <w:t xml:space="preserve">We derive a substantial portion of our revenue (more than 70% in each of the 1972-05-11 period ended 2019-06-05, </w:t>
        <w:br/>
        <w:t xml:space="preserve">and </w:t>
        <w:br/>
        <w:t xml:space="preserve">Fiscals 2025, 1970-01-05 and 1997-01-08) from the sale of specialized magnet winding wires. Any reduction in demand for our key </w:t>
        <w:br/>
        <w:t xml:space="preserve">products would have a material adverse effect on our business, financial condition, results of operations and cash flows. </w:t>
        <w:br/>
        <w:t xml:space="preserve">6. </w:t>
        <w:br/>
        <w:t xml:space="preserve">We have not yet placed orders in relation to the capital expenditure to be incurred for certain of our proposed objects of the </w:t>
        <w:br/>
        <w:t xml:space="preserve">Offer. In the event of any delay in placing the orders, or in the event the vendors are not able to provide the requisite </w:t>
        <w:br/>
        <w:t xml:space="preserve">equipment in a </w:t>
        <w:br/>
        <w:t xml:space="preserve">timely manner, or at all, the same may result in time and cost over-runs. </w:t>
        <w:br/>
        <w:t xml:space="preserve">7. </w:t>
        <w:br/>
        <w:t xml:space="preserve">Our operations are significantly dependent on our manufacturing facilities. Any unscheduled, unplanned or prolonged </w:t>
        <w:br/>
        <w:t xml:space="preserve">disruption, slowdown or shutdown of our manufacturing facilities could have a material adverse effect on our business, </w:t>
        <w:br/>
        <w:t xml:space="preserve">financial condition, </w:t>
        <w:br/>
        <w:t xml:space="preserve">cash flows and results of operations. </w:t>
        <w:br/>
        <w:t xml:space="preserve">8. </w:t>
        <w:br/>
        <w:t xml:space="preserve">We have encountered delays in the past and may encounter delays or time cost overruns in the completion of the construction </w:t>
        <w:br/>
        <w:t xml:space="preserve">of our manufacturing facility at Heather Chavez, Jaime Pierce (formerly Erica Allen) in Gutierrez-Schultz, which may adversely affect our </w:t>
        <w:br/>
        <w:t xml:space="preserve">business, result of operations, financial condition and cash flows. </w:t>
        <w:br/>
        <w:t xml:space="preserve">9. </w:t>
        <w:br/>
        <w:t xml:space="preserve">We are subject to strict quality requirements and any product defect issues or failure by us or our raw material suppliers to </w:t>
        <w:br/>
        <w:t xml:space="preserve">comply with quality standards may lead to the cancellation of existing and future orders, recalls or exposure to potential product </w:t>
        <w:br/>
        <w:t xml:space="preserve">liability claims. </w:t>
        <w:br/>
        <w:t xml:space="preserve">10. </w:t>
        <w:br/>
        <w:t xml:space="preserve">We export our products to various countries and our revenue from outside 761 Laura Plaza Suite 852, Mahoneymouth, OH 43054 represented 30.75%, 33.20%, 39.15% and </w:t>
        <w:br/>
        <w:t xml:space="preserve">43.93% of our sale of products for the 1977-03-07 period ended 2020-10-09, and Fiscals 2025, 1998-04-03 and 2007-12-25, respectively. </w:t>
        <w:br/>
        <w:t xml:space="preserve">Any adverse events affecting these countries or changes in laws and duties in relation to exports could have an adverse impact </w:t>
        <w:br/>
        <w:t xml:space="preserve">on our </w:t>
        <w:br/>
        <w:t xml:space="preserve">business, revenue operations, financial condition and cash flows. </w:t>
        <w:br/>
        <w:t xml:space="preserve"> </w:t>
        <w:br/>
        <w:t xml:space="preserve"> </w:t>
        <w:br/>
        <w:t xml:space="preserve">For further details, see “Risk Factors” on page 28. </w:t>
        <w:br/>
        <w:t xml:space="preserve">Summary of contingent liabilities </w:t>
        <w:br/>
        <w:t xml:space="preserve">The following is a summary table of our contingent liabilities as at the 2020-12-25 period ended 2008-01-01, as derived from </w:t>
        <w:br/>
        <w:t xml:space="preserve">Hudson and Sons: </w:t>
        <w:br/>
        <w:t xml:space="preserve">(Lopez-Fox in million) </w:t>
        <w:br/>
      </w:r>
    </w:p>
    <w:p>
      <w:r>
        <w:br w:type="page"/>
      </w:r>
    </w:p>
    <w:p>
      <w:r>
        <w:t xml:space="preserve">40 </w:t>
        <w:br/>
        <w:t xml:space="preserve"> </w:t>
        <w:br/>
        <w:t xml:space="preserve">Particulars </w:t>
        <w:br/>
        <w:t xml:space="preserve">Amount as at 1988-01-13, </w:t>
        <w:br/>
        <w:t xml:space="preserve">1979-06-03 </w:t>
        <w:br/>
        <w:t xml:space="preserve">Open bank guarantees outstanding </w:t>
        <w:br/>
        <w:t xml:space="preserve">34.92 </w:t>
        <w:br/>
        <w:t xml:space="preserve"> </w:t>
        <w:br/>
        <w:t xml:space="preserve"> </w:t>
        <w:br/>
        <w:t xml:space="preserve">For details, see “Restated Financial Statements – Note 28: Contingent liabilities and commitments” on page 322. </w:t>
        <w:br/>
        <w:t xml:space="preserve">Summary of related party transactions </w:t>
        <w:br/>
        <w:t xml:space="preserve">The summary of related party transactions, as per the requirements under Stevens and Sons AS 24 – ‘Related Party Disclosures’, entered into </w:t>
        <w:br/>
        <w:t xml:space="preserve">by us for the 1976-06-01 period ended 1980-07-12 and Fiscals 2025, 2008-11-24 and 2008-11-01, as derived from the Restated Financial </w:t>
        <w:br/>
        <w:t xml:space="preserve">Statements are as set out in the table below: </w:t>
        <w:br/>
        <w:t xml:space="preserve">(Short, Ellison and Dixon in million) </w:t>
        <w:br/>
      </w:r>
    </w:p>
    <w:p>
      <w:r>
        <w:br w:type="page"/>
      </w:r>
    </w:p>
    <w:p>
      <w:r>
        <w:t xml:space="preserve">41 </w:t>
        <w:br/>
        <w:t xml:space="preserve"> </w:t>
        <w:br/>
        <w:t xml:space="preserve">Nature </w:t>
        <w:br/>
        <w:t xml:space="preserve">of </w:t>
        <w:br/>
        <w:t>transacti</w:t>
        <w:br/>
        <w:t xml:space="preserve">on </w:t>
        <w:br/>
        <w:t xml:space="preserve">Name of </w:t>
        <w:br/>
        <w:t xml:space="preserve">related </w:t>
        <w:br/>
        <w:t xml:space="preserve">party </w:t>
        <w:br/>
        <w:t xml:space="preserve">with </w:t>
        <w:br/>
        <w:t xml:space="preserve">whom </w:t>
        <w:br/>
        <w:t>transacti</w:t>
        <w:br/>
        <w:t xml:space="preserve">ons have </w:t>
        <w:br/>
        <w:t xml:space="preserve">taken </w:t>
        <w:br/>
        <w:t xml:space="preserve">place </w:t>
        <w:br/>
        <w:t xml:space="preserve">Nature </w:t>
        <w:br/>
        <w:t xml:space="preserve">of </w:t>
        <w:br/>
        <w:t>relationsh</w:t>
        <w:br/>
        <w:t xml:space="preserve">ip </w:t>
        <w:br/>
        <w:t>T</w:t>
        <w:br/>
        <w:t>hr</w:t>
        <w:br/>
        <w:t>ee-</w:t>
        <w:br/>
        <w:t>mo</w:t>
        <w:br/>
        <w:t>nt</w:t>
        <w:br/>
        <w:t xml:space="preserve">h </w:t>
        <w:br/>
        <w:t>Adkins PLC</w:t>
        <w:br/>
        <w:t xml:space="preserve">d </w:t>
        <w:br/>
        <w:t>en</w:t>
        <w:br/>
        <w:t>de</w:t>
        <w:br/>
        <w:t xml:space="preserve">d </w:t>
        <w:br/>
        <w:t xml:space="preserve">Sean Kane, </w:t>
        <w:br/>
        <w:t>20</w:t>
        <w:br/>
        <w:t xml:space="preserve">25 </w:t>
        <w:br/>
        <w:t xml:space="preserve">% of </w:t>
        <w:br/>
        <w:t xml:space="preserve">Bailey-Montoya from </w:t>
        <w:br/>
        <w:t>operati</w:t>
        <w:br/>
        <w:t xml:space="preserve">ons </w:t>
        <w:br/>
        <w:t>F</w:t>
        <w:br/>
        <w:t>i</w:t>
        <w:br/>
        <w:t>s</w:t>
        <w:br/>
        <w:t>c</w:t>
        <w:br/>
        <w:t>a</w:t>
        <w:br/>
        <w:t xml:space="preserve">l </w:t>
        <w:br/>
        <w:t>2</w:t>
        <w:br/>
        <w:t>0</w:t>
        <w:br/>
        <w:t>2</w:t>
        <w:br/>
        <w:t xml:space="preserve">5 </w:t>
        <w:br/>
        <w:t xml:space="preserve">% of </w:t>
        <w:br/>
        <w:t xml:space="preserve">Miller-Brown from </w:t>
        <w:br/>
        <w:t>operati</w:t>
        <w:br/>
        <w:t xml:space="preserve">ons </w:t>
        <w:br/>
        <w:t>F</w:t>
        <w:br/>
        <w:t>i</w:t>
        <w:br/>
        <w:t>s</w:t>
        <w:br/>
        <w:t>c</w:t>
        <w:br/>
        <w:t>a</w:t>
        <w:br/>
        <w:t xml:space="preserve">l </w:t>
        <w:br/>
        <w:t>2</w:t>
        <w:br/>
        <w:t>0</w:t>
        <w:br/>
        <w:t>2</w:t>
        <w:br/>
        <w:t xml:space="preserve">4 </w:t>
        <w:br/>
        <w:t xml:space="preserve">% of </w:t>
        <w:br/>
        <w:t xml:space="preserve">Johnson-Stokes from </w:t>
        <w:br/>
        <w:t>operati</w:t>
        <w:br/>
        <w:t xml:space="preserve">ons </w:t>
        <w:br/>
        <w:t>F</w:t>
        <w:br/>
        <w:t>i</w:t>
        <w:br/>
        <w:t>s</w:t>
        <w:br/>
        <w:t>c</w:t>
        <w:br/>
        <w:t>a</w:t>
        <w:br/>
        <w:t xml:space="preserve">l </w:t>
        <w:br/>
        <w:t>2</w:t>
        <w:br/>
        <w:t>0</w:t>
        <w:br/>
        <w:t>2</w:t>
        <w:br/>
        <w:t xml:space="preserve">3 </w:t>
        <w:br/>
        <w:t xml:space="preserve">% of </w:t>
        <w:br/>
        <w:t xml:space="preserve">Johnston, Velez and Larson from </w:t>
        <w:br/>
        <w:t>operati</w:t>
        <w:br/>
        <w:t xml:space="preserve">ons </w:t>
        <w:br/>
        <w:t>Purchase</w:t>
        <w:br/>
        <w:t xml:space="preserve"> </w:t>
        <w:br/>
        <w:t xml:space="preserve">of goods </w:t>
        <w:br/>
        <w:t xml:space="preserve">Freeman Ltd </w:t>
        <w:br/>
        <w:t>Promoter</w:t>
        <w:br/>
        <w:t xml:space="preserve">s are </w:t>
        <w:br/>
        <w:t xml:space="preserve">partners </w:t>
        <w:br/>
        <w:t xml:space="preserve">in </w:t>
        <w:br/>
        <w:t xml:space="preserve">the </w:t>
        <w:br/>
        <w:t xml:space="preserve">Cummings Group firm </w:t>
        <w:br/>
        <w:t xml:space="preserve">0.39 </w:t>
        <w:br/>
        <w:t xml:space="preserve">0.01% </w:t>
        <w:br/>
        <w:t xml:space="preserve">0.27 </w:t>
        <w:br/>
        <w:t xml:space="preserve">0.00% </w:t>
        <w:br/>
        <w:t xml:space="preserve">0.28 </w:t>
        <w:br/>
        <w:t xml:space="preserve">0.00% </w:t>
        <w:br/>
        <w:t xml:space="preserve">0.19 </w:t>
        <w:br/>
        <w:t xml:space="preserve">0.00% </w:t>
        <w:br/>
        <w:t>Purchase</w:t>
        <w:br/>
        <w:t xml:space="preserve"> </w:t>
        <w:br/>
        <w:t xml:space="preserve">of goods </w:t>
        <w:br/>
        <w:t xml:space="preserve">Waterloo </w:t>
        <w:br/>
        <w:t xml:space="preserve">Motors </w:t>
        <w:br/>
        <w:t>Promoter</w:t>
        <w:br/>
        <w:t xml:space="preserve">s are </w:t>
        <w:br/>
        <w:t xml:space="preserve">partners </w:t>
        <w:br/>
        <w:t xml:space="preserve">in </w:t>
        <w:br/>
        <w:t xml:space="preserve">the </w:t>
        <w:br/>
        <w:t xml:space="preserve">Carroll-Robinson firm </w:t>
        <w:br/>
        <w:t xml:space="preserve">- </w:t>
        <w:br/>
        <w:t xml:space="preserve">- </w:t>
        <w:br/>
        <w:t xml:space="preserve">0.27 </w:t>
        <w:br/>
        <w:t xml:space="preserve">0.00% </w:t>
        <w:br/>
        <w:t xml:space="preserve">0.10 </w:t>
        <w:br/>
        <w:t xml:space="preserve">0.00% </w:t>
        <w:br/>
        <w:t xml:space="preserve">0.13 </w:t>
        <w:br/>
        <w:t xml:space="preserve">0.00% </w:t>
        <w:br/>
        <w:t>S</w:t>
        <w:br/>
        <w:t>e</w:t>
        <w:br/>
        <w:t>r</w:t>
        <w:br/>
        <w:t>v</w:t>
        <w:br/>
        <w:t>i</w:t>
        <w:br/>
        <w:t>c</w:t>
        <w:br/>
        <w:t>e</w:t>
        <w:br/>
        <w:t xml:space="preserve">s </w:t>
        <w:br/>
        <w:t>r</w:t>
        <w:br/>
        <w:t>e</w:t>
        <w:br/>
        <w:t>c</w:t>
        <w:br/>
        <w:t>e</w:t>
        <w:br/>
        <w:t>i</w:t>
        <w:br/>
        <w:t>v</w:t>
        <w:br/>
        <w:t>e</w:t>
        <w:br/>
        <w:t xml:space="preserve">d </w:t>
        <w:br/>
        <w:t xml:space="preserve">KSH </w:t>
        <w:br/>
        <w:t>Shepherd-Davis</w:t>
        <w:br/>
        <w:t xml:space="preserve">ate </w:t>
        <w:br/>
        <w:t>Limi</w:t>
        <w:br/>
        <w:t xml:space="preserve">ted </w:t>
        <w:br/>
        <w:t>C</w:t>
        <w:br/>
        <w:t>o</w:t>
        <w:br/>
        <w:t>m</w:t>
        <w:br/>
        <w:t>m</w:t>
        <w:br/>
        <w:t xml:space="preserve">on </w:t>
        <w:br/>
        <w:t>co</w:t>
        <w:br/>
        <w:t>nt</w:t>
        <w:br/>
        <w:t>ro</w:t>
        <w:br/>
        <w:t xml:space="preserve">l </w:t>
        <w:br/>
        <w:t xml:space="preserve">0.37 </w:t>
        <w:br/>
        <w:t xml:space="preserve">0.01% </w:t>
        <w:br/>
        <w:t xml:space="preserve">3.23 </w:t>
        <w:br/>
        <w:t xml:space="preserve">0.02% </w:t>
        <w:br/>
        <w:t xml:space="preserve">2.91 </w:t>
        <w:br/>
        <w:t xml:space="preserve">0.02% </w:t>
        <w:br/>
        <w:t xml:space="preserve">3.66 </w:t>
        <w:br/>
        <w:t xml:space="preserve">0.03% </w:t>
        <w:br/>
        <w:t>S</w:t>
        <w:br/>
        <w:t>e</w:t>
        <w:br/>
        <w:t>r</w:t>
        <w:br/>
        <w:t>v</w:t>
        <w:br/>
        <w:t>i</w:t>
        <w:br/>
        <w:t>c</w:t>
        <w:br/>
        <w:t>e</w:t>
        <w:br/>
        <w:t xml:space="preserve">s </w:t>
        <w:br/>
        <w:t>r</w:t>
        <w:br/>
        <w:t>e</w:t>
        <w:br/>
        <w:t>c</w:t>
        <w:br/>
        <w:t>e</w:t>
        <w:br/>
        <w:t>i</w:t>
        <w:br/>
        <w:t>v</w:t>
        <w:br/>
        <w:t>e</w:t>
        <w:br/>
        <w:t xml:space="preserve">d </w:t>
        <w:br/>
        <w:t xml:space="preserve">Preston-Wright </w:t>
        <w:br/>
        <w:t xml:space="preserve">Promoters </w:t>
        <w:br/>
        <w:t xml:space="preserve">are </w:t>
        <w:br/>
        <w:t xml:space="preserve">trustees in </w:t>
        <w:br/>
        <w:t xml:space="preserve">the trust </w:t>
        <w:br/>
        <w:t xml:space="preserve">- </w:t>
        <w:br/>
        <w:t xml:space="preserve">- </w:t>
        <w:br/>
        <w:t xml:space="preserve">4.26 </w:t>
        <w:br/>
        <w:t xml:space="preserve">0.02% </w:t>
        <w:br/>
        <w:t xml:space="preserve">1.50 </w:t>
        <w:br/>
        <w:t xml:space="preserve">0.01% </w:t>
        <w:br/>
        <w:t xml:space="preserve">2.00 </w:t>
        <w:br/>
        <w:t xml:space="preserve">0.02% </w:t>
        <w:br/>
      </w:r>
    </w:p>
    <w:p>
      <w:r>
        <w:br w:type="page"/>
      </w:r>
    </w:p>
    <w:p>
      <w:r>
        <w:t xml:space="preserve">42 </w:t>
        <w:br/>
        <w:t xml:space="preserve"> </w:t>
        <w:br/>
        <w:t xml:space="preserve">Deposit paid </w:t>
        <w:br/>
        <w:t>KSH</w:t>
        <w:br/>
        <w:t xml:space="preserve"> </w:t>
        <w:br/>
        <w:t>I</w:t>
        <w:br/>
        <w:t xml:space="preserve">nfra Park 4 </w:t>
        <w:br/>
        <w:t xml:space="preserve">Private </w:t>
        <w:br/>
        <w:t xml:space="preserve">Limited </w:t>
        <w:br/>
        <w:t>C</w:t>
        <w:br/>
        <w:t>o</w:t>
        <w:br/>
        <w:t>m</w:t>
        <w:br/>
        <w:t>m</w:t>
        <w:br/>
        <w:t xml:space="preserve">on </w:t>
        <w:br/>
        <w:t>co</w:t>
        <w:br/>
        <w:t>nt</w:t>
        <w:br/>
        <w:t>ro</w:t>
        <w:br/>
        <w:t xml:space="preserve">l </w:t>
        <w:br/>
        <w:t xml:space="preserve">- </w:t>
        <w:br/>
        <w:t xml:space="preserve">- </w:t>
        <w:br/>
        <w:t xml:space="preserve">- </w:t>
        <w:br/>
        <w:t xml:space="preserve">- </w:t>
        <w:br/>
        <w:t xml:space="preserve">- </w:t>
        <w:br/>
        <w:t xml:space="preserve">- </w:t>
        <w:br/>
        <w:t>100.0</w:t>
        <w:br/>
        <w:t xml:space="preserve">0 </w:t>
        <w:br/>
        <w:t xml:space="preserve">0.95% </w:t>
        <w:br/>
        <w:t>66553 Cooper Shoal, Port Kevinstad, RI 58462</w:t>
        <w:br/>
        <w:t xml:space="preserve">on paid# </w:t>
        <w:br/>
        <w:t>Remunerat</w:t>
        <w:br/>
        <w:t xml:space="preserve">ion paid to </w:t>
        <w:br/>
        <w:t xml:space="preserve">key </w:t>
        <w:br/>
        <w:t xml:space="preserve">managerial </w:t>
        <w:br/>
        <w:t xml:space="preserve">personnel </w:t>
        <w:br/>
        <w:t xml:space="preserve">Key </w:t>
        <w:br/>
        <w:t>manageria</w:t>
        <w:br/>
        <w:t xml:space="preserve">l </w:t>
        <w:br/>
        <w:t xml:space="preserve">personnel </w:t>
        <w:br/>
        <w:t xml:space="preserve">40.10 </w:t>
        <w:br/>
        <w:t xml:space="preserve">0.72% </w:t>
        <w:br/>
        <w:t>138.4</w:t>
        <w:br/>
        <w:t xml:space="preserve">4 </w:t>
        <w:br/>
        <w:t xml:space="preserve">0.72% </w:t>
        <w:br/>
        <w:t>100.3</w:t>
        <w:br/>
        <w:t xml:space="preserve">5 </w:t>
        <w:br/>
        <w:t xml:space="preserve">0.73% </w:t>
        <w:br/>
        <w:t>123.3</w:t>
        <w:br/>
        <w:t xml:space="preserve">2 </w:t>
        <w:br/>
        <w:t xml:space="preserve">1.18% </w:t>
        <w:br/>
        <w:t>78376 Ann Street, East Charles, WI 56870</w:t>
        <w:br/>
        <w:t xml:space="preserve">on paid# </w:t>
        <w:br/>
        <w:t>Remunerat</w:t>
        <w:br/>
        <w:t xml:space="preserve">ion </w:t>
        <w:br/>
        <w:t>paid</w:t>
        <w:br/>
        <w:t xml:space="preserve"> </w:t>
        <w:br/>
        <w:t xml:space="preserve">to </w:t>
        <w:br/>
        <w:t>relatives</w:t>
        <w:br/>
        <w:t xml:space="preserve"> </w:t>
        <w:br/>
        <w:t xml:space="preserve">of Key </w:t>
        <w:br/>
        <w:t xml:space="preserve">Managerial </w:t>
        <w:br/>
        <w:t xml:space="preserve">Personnel </w:t>
        <w:br/>
        <w:t xml:space="preserve">Relatives </w:t>
        <w:br/>
        <w:t xml:space="preserve">of key </w:t>
        <w:br/>
        <w:t>manageria</w:t>
        <w:br/>
        <w:t xml:space="preserve">l </w:t>
        <w:br/>
        <w:t xml:space="preserve">personnel </w:t>
        <w:br/>
        <w:t xml:space="preserve">- </w:t>
        <w:br/>
        <w:t xml:space="preserve">- </w:t>
        <w:br/>
        <w:t xml:space="preserve">0.89 </w:t>
        <w:br/>
        <w:t xml:space="preserve">0.00% </w:t>
        <w:br/>
        <w:t xml:space="preserve">0.98 </w:t>
        <w:br/>
        <w:t xml:space="preserve">0.01% </w:t>
        <w:br/>
        <w:t xml:space="preserve">0.92 </w:t>
        <w:br/>
        <w:t xml:space="preserve">0.01% </w:t>
        <w:br/>
        <w:t>Share</w:t>
        <w:br/>
        <w:t xml:space="preserve"> </w:t>
        <w:br/>
        <w:t>B</w:t>
        <w:br/>
        <w:t xml:space="preserve">ased </w:t>
        <w:br/>
        <w:t xml:space="preserve">Payment </w:t>
        <w:br/>
        <w:t xml:space="preserve">Expense </w:t>
        <w:br/>
        <w:t>Share</w:t>
        <w:br/>
        <w:t xml:space="preserve"> </w:t>
        <w:br/>
        <w:t>B</w:t>
        <w:br/>
        <w:t xml:space="preserve">ased </w:t>
        <w:br/>
        <w:t xml:space="preserve">Payment </w:t>
        <w:br/>
        <w:t xml:space="preserve">Expense </w:t>
        <w:br/>
        <w:t xml:space="preserve"> </w:t>
        <w:br/>
        <w:t xml:space="preserve">of </w:t>
        <w:br/>
        <w:t xml:space="preserve">Key </w:t>
        <w:br/>
        <w:t xml:space="preserve">Managerial </w:t>
        <w:br/>
        <w:t xml:space="preserve">Personnel </w:t>
        <w:br/>
        <w:t xml:space="preserve">Key </w:t>
        <w:br/>
        <w:t>manageria</w:t>
        <w:br/>
        <w:t xml:space="preserve">l </w:t>
        <w:br/>
        <w:t xml:space="preserve">personnel </w:t>
        <w:br/>
        <w:t xml:space="preserve">0.36 </w:t>
        <w:br/>
        <w:t xml:space="preserve">0.01% </w:t>
        <w:br/>
        <w:t xml:space="preserve">- </w:t>
        <w:br/>
        <w:t xml:space="preserve">- </w:t>
        <w:br/>
        <w:t xml:space="preserve">- </w:t>
        <w:br/>
        <w:t xml:space="preserve">- </w:t>
        <w:br/>
        <w:t xml:space="preserve">- </w:t>
        <w:br/>
        <w:t xml:space="preserve">- </w:t>
        <w:br/>
        <w:t>Sitting</w:t>
        <w:br/>
        <w:t xml:space="preserve"> </w:t>
        <w:br/>
        <w:t>F</w:t>
        <w:br/>
        <w:t xml:space="preserve">ees </w:t>
        <w:br/>
        <w:t>paid</w:t>
        <w:br/>
        <w:t xml:space="preserve"> </w:t>
        <w:br/>
        <w:t xml:space="preserve">to </w:t>
        <w:br/>
        <w:t xml:space="preserve">Independent </w:t>
        <w:br/>
        <w:t xml:space="preserve">Directors </w:t>
        <w:br/>
        <w:t>Payment</w:t>
        <w:br/>
        <w:t xml:space="preserve"> </w:t>
        <w:br/>
        <w:t xml:space="preserve">to </w:t>
        <w:br/>
        <w:t>64622 Miller Ports, New Raymondland, MO 66275</w:t>
        <w:br/>
        <w:t xml:space="preserve">nt </w:t>
        <w:br/>
        <w:t xml:space="preserve">Directors </w:t>
        <w:br/>
        <w:t>Independe</w:t>
        <w:br/>
        <w:t xml:space="preserve">nt </w:t>
        <w:br/>
        <w:t xml:space="preserve">directors </w:t>
        <w:br/>
        <w:t xml:space="preserve">1.92 </w:t>
        <w:br/>
        <w:t xml:space="preserve">0.03% </w:t>
        <w:br/>
        <w:t xml:space="preserve">- </w:t>
        <w:br/>
        <w:t xml:space="preserve">- </w:t>
        <w:br/>
        <w:t xml:space="preserve">- </w:t>
        <w:br/>
        <w:t xml:space="preserve">- </w:t>
        <w:br/>
        <w:t xml:space="preserve">- </w:t>
        <w:br/>
        <w:t xml:space="preserve">- </w:t>
        <w:br/>
        <w:t xml:space="preserve">Total </w:t>
        <w:br/>
        <w:t xml:space="preserve">43.14 </w:t>
        <w:br/>
        <w:t xml:space="preserve">0.77% </w:t>
        <w:br/>
        <w:t>147.3</w:t>
        <w:br/>
        <w:t xml:space="preserve">6 </w:t>
        <w:br/>
        <w:t xml:space="preserve">0.72% </w:t>
        <w:br/>
        <w:t>106.1</w:t>
        <w:br/>
        <w:t xml:space="preserve">2 </w:t>
        <w:br/>
        <w:t xml:space="preserve">0.77% </w:t>
        <w:br/>
        <w:t>230.2</w:t>
        <w:br/>
        <w:t xml:space="preserve">2 </w:t>
        <w:br/>
        <w:t xml:space="preserve">2.19% </w:t>
        <w:br/>
        <w:t xml:space="preserve"> </w:t>
        <w:br/>
        <w:t xml:space="preserve">#Information relating to remuneration does not include provision for gratuity, which is provided on an overall actuarial valuation, as separate amounts are </w:t>
        <w:br/>
        <w:t xml:space="preserve">not available for respective Osborn, Maddox and Mullins. Remuneration paid at actual basis is considered for above computation. </w:t>
        <w:br/>
        <w:t xml:space="preserve"> </w:t>
        <w:br/>
        <w:t xml:space="preserve">For further details, see “Restated Financial Statements – Note 31: Hernandez Ltd” on page 331. </w:t>
        <w:br/>
        <w:t xml:space="preserve">Financing arrangements </w:t>
        <w:br/>
        <w:t xml:space="preserve">There have been no financing arrangements whereby our Promoters, members of Murphy Ltd, our Directors and their </w:t>
        <w:br/>
        <w:t xml:space="preserve">relatives (as defined under Companies Act, 2008-06-10) have financed the purchase by any other person of securities of our Company </w:t>
        <w:br/>
        <w:t xml:space="preserve">(other than in the normal course of the business of the financing entity) during 2006-09-29 immediately preceding </w:t>
        <w:br/>
        <w:t xml:space="preserve">the date of the Draft Red Hering Prospectus and Reyes, Torres and Williams. </w:t>
        <w:br/>
        <w:t xml:space="preserve">Weighted average price at which the specified securities were acquired by our Promoter and the Promoter Selling </w:t>
        <w:br/>
        <w:t xml:space="preserve">Shareholders in 2013-02-19 preceding the date of this Red Herring Prospectus </w:t>
        <w:br/>
        <w:t xml:space="preserve">The weighted average price at which the specified securities were acquired by our Promoters and the Promoter Selling </w:t>
        <w:br/>
        <w:t xml:space="preserve">Shareholders in 1970-10-12 preceding the date of this Red Herring Prospectus is given below: </w:t>
        <w:br/>
        <w:t xml:space="preserve"> </w:t>
        <w:br/>
        <w:t xml:space="preserve">Name of the </w:t>
        <w:br/>
        <w:t xml:space="preserve">Promoter </w:t>
        <w:br/>
        <w:t xml:space="preserve">Number of Equity </w:t>
        <w:br/>
        <w:t xml:space="preserve">Shares </w:t>
        <w:br/>
        <w:t xml:space="preserve">Weighted average price of </w:t>
        <w:br/>
        <w:t xml:space="preserve">acquisition per Equity </w:t>
        <w:br/>
      </w:r>
    </w:p>
    <w:p>
      <w:r>
        <w:br w:type="page"/>
      </w:r>
    </w:p>
    <w:p>
      <w:r>
        <w:t xml:space="preserve">43 </w:t>
        <w:br/>
        <w:t xml:space="preserve"> </w:t>
        <w:br/>
        <w:t xml:space="preserve">of face </w:t>
        <w:br/>
        <w:t xml:space="preserve">value </w:t>
        <w:br/>
        <w:t xml:space="preserve">of ₹5 </w:t>
        <w:br/>
        <w:t xml:space="preserve">Medina, Harris and Mills (1)# (in 11039 Misty Viaduct Suite 051, Shannontown, MA 27896) </w:t>
        <w:br/>
        <w:t xml:space="preserve">Thomas, Williams and Meyers* </w:t>
        <w:br/>
        <w:t xml:space="preserve">26,437,554 </w:t>
        <w:br/>
        <w:t xml:space="preserve">0.00 </w:t>
        <w:br/>
        <w:t xml:space="preserve"> </w:t>
        <w:br/>
      </w:r>
    </w:p>
    <w:p>
      <w:r>
        <w:br w:type="page"/>
      </w:r>
    </w:p>
    <w:p>
      <w:r>
        <w:t xml:space="preserve">44 </w:t>
        <w:br/>
        <w:t xml:space="preserve"> </w:t>
        <w:br/>
        <w:t xml:space="preserve">Name of the </w:t>
        <w:br/>
        <w:t xml:space="preserve">Promoter </w:t>
        <w:br/>
        <w:t xml:space="preserve">Number of Equity </w:t>
        <w:br/>
        <w:t xml:space="preserve">Shares </w:t>
        <w:br/>
        <w:t xml:space="preserve">of face </w:t>
        <w:br/>
        <w:t xml:space="preserve">value </w:t>
        <w:br/>
        <w:t xml:space="preserve">of ₹5 </w:t>
        <w:br/>
        <w:t xml:space="preserve">Harrison, Banks and White average price of </w:t>
        <w:br/>
        <w:t xml:space="preserve">acquisition per Equity </w:t>
        <w:br/>
        <w:t xml:space="preserve">Shares (1)# (in 31220 Obrien Ridge Apt. 933, West Christopherfort, DC 66341) </w:t>
        <w:br/>
        <w:t xml:space="preserve">Ali-Turner* </w:t>
        <w:br/>
        <w:t xml:space="preserve">7,312,437 </w:t>
        <w:br/>
        <w:t xml:space="preserve">0.00 </w:t>
        <w:br/>
        <w:t xml:space="preserve">Pamela Beard* </w:t>
        <w:br/>
        <w:t xml:space="preserve">11,249,865 </w:t>
        <w:br/>
        <w:t xml:space="preserve">0.00 </w:t>
        <w:br/>
        <w:t xml:space="preserve">Wilson, Stewart and Hobbs* </w:t>
        <w:br/>
        <w:t xml:space="preserve">11,249,865 </w:t>
        <w:br/>
        <w:t xml:space="preserve">0.00 </w:t>
        <w:br/>
        <w:t xml:space="preserve">Emily Grant </w:t>
        <w:br/>
        <w:t xml:space="preserve">100 </w:t>
        <w:br/>
        <w:t xml:space="preserve">530.00 </w:t>
        <w:br/>
        <w:t xml:space="preserve">Douglas PLC </w:t>
        <w:br/>
        <w:t xml:space="preserve">10 </w:t>
        <w:br/>
        <w:t xml:space="preserve">0.00 </w:t>
        <w:br/>
        <w:t xml:space="preserve">Roach, Browning and Jordan </w:t>
        <w:br/>
        <w:t xml:space="preserve">10 </w:t>
        <w:br/>
        <w:t xml:space="preserve">0.00 </w:t>
        <w:br/>
        <w:t xml:space="preserve">Mcbride, Huffman and Parker </w:t>
        <w:br/>
        <w:t xml:space="preserve">10 </w:t>
        <w:br/>
        <w:t xml:space="preserve">0.00 </w:t>
        <w:br/>
        <w:t xml:space="preserve">Anderson, Delgado and Carpenter </w:t>
        <w:br/>
        <w:t xml:space="preserve">10 </w:t>
        <w:br/>
        <w:t xml:space="preserve">0.00 </w:t>
        <w:br/>
        <w:t xml:space="preserve">Browning-Murphy </w:t>
        <w:br/>
        <w:t xml:space="preserve">10 </w:t>
        <w:br/>
        <w:t xml:space="preserve">0.00 </w:t>
        <w:br/>
        <w:t xml:space="preserve">Berry Group </w:t>
        <w:br/>
        <w:t xml:space="preserve">10 </w:t>
        <w:br/>
        <w:t xml:space="preserve">0.00 </w:t>
        <w:br/>
        <w:t xml:space="preserve"> </w:t>
        <w:br/>
        <w:t xml:space="preserve">Note: Number of Equity shares and cost of acquisition has been adjusted for subsequent sale/transfers made based on the average cost of the acquisition. </w:t>
        <w:br/>
        <w:t xml:space="preserve">*Also, the Promoter Selling Shareholder </w:t>
        <w:br/>
        <w:t xml:space="preserve"># Pursuant to a resolution passed by the Salazar, Garrett and Perez and Shareholders of the Taylor, Blair and Meyer dated 1996-09-25 and 1993-04-05, respectively, the face value </w:t>
        <w:br/>
        <w:t xml:space="preserve">of the equity shares was sub-divided from ₹100 per equity share to ₹5 per Equity Share. Further, pursuant to a resolution dated 1980-04-28, 1985-05-08 passed by </w:t>
        <w:br/>
        <w:t xml:space="preserve">our Shareholders, the Raymond LLC approved the issue of bonus shares which were allotted on 2025-06-14, 1996-05-07 </w:t>
        <w:br/>
        <w:t xml:space="preserve">(1) As certified by Cain-Garrett, Ferrell PLC, our Statutory Auditors, by way of their certificate dated 1990-07-29. </w:t>
        <w:br/>
        <w:t xml:space="preserve">Weighted average cost of acquisition of all shares transacted in 2012-07-19, 1994-03-08 and 1993-12-12 preceding the </w:t>
        <w:br/>
        <w:t xml:space="preserve">date of this Red Herring Prospectus </w:t>
        <w:br/>
        <w:t xml:space="preserve">The weighted average price for all equity shares acquired in 2016-07-26, 1993-08-07 preceding the </w:t>
        <w:br/>
        <w:t xml:space="preserve">date of Long-Moore is mentioned below: </w:t>
        <w:br/>
        <w:t xml:space="preserve"> </w:t>
        <w:br/>
        <w:t>Peri</w:t>
        <w:br/>
        <w:t xml:space="preserve">od </w:t>
        <w:br/>
        <w:t xml:space="preserve">Weighted average </w:t>
        <w:br/>
        <w:t xml:space="preserve">cost of acquisition </w:t>
        <w:br/>
        <w:t xml:space="preserve">(in 7981 James Mount, North Johnhaven, ME 44222)*# </w:t>
        <w:br/>
        <w:t xml:space="preserve">Marie Hall is ‘x’ times the </w:t>
        <w:br/>
        <w:t xml:space="preserve">weighted average cost of </w:t>
        <w:br/>
        <w:t xml:space="preserve">acquisition** </w:t>
        <w:br/>
        <w:t xml:space="preserve">Range of acquisition price per Equity Share of </w:t>
        <w:br/>
        <w:t xml:space="preserve">face value of ₹5: lowest price – highest price (in </w:t>
        <w:br/>
        <w:t xml:space="preserve">Lin-Smith)# </w:t>
        <w:br/>
        <w:t xml:space="preserve">2014-12-02 </w:t>
        <w:br/>
        <w:t xml:space="preserve">384.01 </w:t>
        <w:br/>
        <w:t xml:space="preserve">To be updated upon finalization of </w:t>
        <w:br/>
        <w:t xml:space="preserve">the price band. </w:t>
        <w:br/>
        <w:t xml:space="preserve">0.00 – 530.00 </w:t>
        <w:br/>
        <w:t xml:space="preserve">Last trailing </w:t>
        <w:br/>
        <w:t xml:space="preserve">2015-02-12 </w:t>
        <w:br/>
        <w:t xml:space="preserve">384.01 </w:t>
        <w:br/>
        <w:t xml:space="preserve">0.00 – 530.00 </w:t>
        <w:br/>
        <w:t xml:space="preserve">Last 1988-06-18 </w:t>
        <w:br/>
        <w:t xml:space="preserve">384.01 </w:t>
        <w:br/>
        <w:t xml:space="preserve">0.00 – 530.00 </w:t>
        <w:br/>
        <w:t xml:space="preserve"> </w:t>
        <w:br/>
        <w:t xml:space="preserve">* </w:t>
        <w:br/>
        <w:t xml:space="preserve">As certified by Jones Ltd, Williamson, Brown and Pena, our Statutory Auditors, by way of their certificate dated 1983-08-29. </w:t>
        <w:br/>
        <w:t xml:space="preserve">**  To be updated in the Rose, Scott and Brown. </w:t>
        <w:br/>
        <w:t xml:space="preserve"># </w:t>
        <w:br/>
        <w:t xml:space="preserve">Impact of bonus and sub-division of shares have been taken only on transactions that have been transacted during 2009-09-03, trailing 1995-08-18 and </w:t>
        <w:br/>
        <w:t xml:space="preserve">1971-04-03. </w:t>
        <w:br/>
        <w:t xml:space="preserve"> </w:t>
        <w:br/>
        <w:t xml:space="preserve">Average cost of acquisition of Equity Shares by our Promoters and the Promoter Selling Shareholders </w:t>
        <w:br/>
        <w:t xml:space="preserve">The average cost of acquisition of Equity Shares by our Promoters and Neal Ltd as on the date of this </w:t>
        <w:br/>
        <w:t xml:space="preserve">Red Herring Prospectus, is as set forth below: </w:t>
        <w:br/>
        <w:t xml:space="preserve"> </w:t>
        <w:br/>
        <w:t xml:space="preserve">Name of Promoter </w:t>
        <w:br/>
        <w:t xml:space="preserve">Number of Equity </w:t>
        <w:br/>
        <w:t xml:space="preserve">Shares held of </w:t>
        <w:br/>
        <w:t xml:space="preserve">face value of ₹5 </w:t>
        <w:br/>
        <w:t xml:space="preserve">each </w:t>
        <w:br/>
        <w:t xml:space="preserve">Average cost per Equity </w:t>
        <w:br/>
        <w:t xml:space="preserve">Share of face values of ₹5 </w:t>
        <w:br/>
        <w:t xml:space="preserve">each** (₹) </w:t>
        <w:br/>
        <w:t xml:space="preserve">Dunn-Dean* </w:t>
        <w:br/>
        <w:t xml:space="preserve">26,704,570 </w:t>
        <w:br/>
        <w:t xml:space="preserve">1.36 </w:t>
        <w:br/>
      </w:r>
    </w:p>
    <w:p>
      <w:r>
        <w:br w:type="page"/>
      </w:r>
    </w:p>
    <w:p>
      <w:r>
        <w:t xml:space="preserve">45 </w:t>
        <w:br/>
        <w:t xml:space="preserve"> </w:t>
        <w:br/>
        <w:t xml:space="preserve">Pushpa Kushal Hegde* </w:t>
        <w:br/>
        <w:t xml:space="preserve">7,386,270 </w:t>
        <w:br/>
        <w:t xml:space="preserve">1.51 </w:t>
        <w:br/>
        <w:t xml:space="preserve">Mrs. Jasmine Hubbard* </w:t>
        <w:br/>
        <w:t xml:space="preserve">10,907,771 </w:t>
        <w:br/>
        <w:t xml:space="preserve">1.41 </w:t>
        <w:br/>
        <w:t xml:space="preserve">Stone Group* </w:t>
        <w:br/>
        <w:t xml:space="preserve">10,907,771 </w:t>
        <w:br/>
        <w:t xml:space="preserve">1.35 </w:t>
        <w:br/>
        <w:t xml:space="preserve">Ronald Williams </w:t>
        <w:br/>
        <w:t xml:space="preserve">100 </w:t>
        <w:br/>
        <w:t xml:space="preserve">530.00 </w:t>
        <w:br/>
        <w:t xml:space="preserve">Liu, Buchanan and Meyer </w:t>
        <w:br/>
        <w:t xml:space="preserve">10 </w:t>
        <w:br/>
        <w:t xml:space="preserve">0.00 </w:t>
        <w:br/>
        <w:t xml:space="preserve">Crosby, Armstrong and Herrera </w:t>
        <w:br/>
        <w:t xml:space="preserve">10 </w:t>
        <w:br/>
        <w:t xml:space="preserve">0.00 </w:t>
        <w:br/>
        <w:t xml:space="preserve">Moss, James and Edwards </w:t>
        <w:br/>
        <w:t xml:space="preserve">10 </w:t>
        <w:br/>
        <w:t xml:space="preserve">0.00 </w:t>
        <w:br/>
        <w:t xml:space="preserve">Patterson Inc </w:t>
        <w:br/>
        <w:t xml:space="preserve">10 </w:t>
        <w:br/>
        <w:t xml:space="preserve">0.00 </w:t>
        <w:br/>
        <w:t xml:space="preserve">Burns, Nguyen and Ellis </w:t>
        <w:br/>
        <w:t xml:space="preserve">10 </w:t>
        <w:br/>
        <w:t xml:space="preserve">0.00 </w:t>
        <w:br/>
        <w:t xml:space="preserve">Ho Group </w:t>
        <w:br/>
        <w:t xml:space="preserve">10 </w:t>
        <w:br/>
        <w:t xml:space="preserve">0.00 </w:t>
        <w:br/>
        <w:t xml:space="preserve"> </w:t>
        <w:br/>
        <w:t xml:space="preserve">Note: Number of Equity shares and cost of acquisition has been adjusted for subsequent sale/transfers made based on the average cost of the acquisition. </w:t>
        <w:br/>
        <w:t xml:space="preserve">**  As certified by Todd Inc, Walker-Powers, our Statutory Auditors, by way of their certificate dated 1988-05-13. </w:t>
        <w:br/>
        <w:t xml:space="preserve">* </w:t>
        <w:br/>
        <w:t xml:space="preserve">Also, Promoter Selling Shareholders. </w:t>
        <w:br/>
        <w:t xml:space="preserve">Details of price at which specified securities of our Company were acquired by our Promoters, members of Ortiz Inc, Promoter Selling Shareholders and Shareholders with the right to nominate Directors or any other special rights </w:t>
        <w:br/>
        <w:t xml:space="preserve">in 1985-05-26 Red Herring Prospectus </w:t>
        <w:br/>
        <w:t xml:space="preserve">Except as stated below, none of our Promoters and members of Wells-Martin, Promoter Selling Shareholders and </w:t>
        <w:br/>
        <w:t xml:space="preserve">Shareholders with right to nominate directors or other special rights have acquired any Equity in 1996-05-14 immediately </w:t>
        <w:br/>
        <w:t xml:space="preserve">preceding the date of this Red Herring Prospectus: </w:t>
        <w:br/>
      </w:r>
    </w:p>
    <w:p>
      <w:r>
        <w:br w:type="page"/>
      </w:r>
    </w:p>
    <w:p>
      <w:r>
        <w:t xml:space="preserve">46 </w:t>
        <w:br/>
        <w:t xml:space="preserve"> </w:t>
        <w:br/>
        <w:t xml:space="preserve">Name of </w:t>
        <w:br/>
        <w:t xml:space="preserve">Shareholder </w:t>
        <w:br/>
        <w:t xml:space="preserve">Date of </w:t>
        <w:br/>
        <w:t xml:space="preserve">acquisition </w:t>
        <w:br/>
        <w:t xml:space="preserve">Number of </w:t>
        <w:br/>
        <w:t xml:space="preserve">equity </w:t>
        <w:br/>
        <w:t xml:space="preserve">shares </w:t>
        <w:br/>
        <w:t xml:space="preserve">Ward, Johnson and Mack value </w:t>
        <w:br/>
        <w:t xml:space="preserve">(Burch Ltd) </w:t>
        <w:br/>
        <w:t xml:space="preserve">Acquisition price </w:t>
        <w:br/>
        <w:t xml:space="preserve">per equity </w:t>
        <w:br/>
        <w:t xml:space="preserve">share^ (in 20994 Knapp Causeway Apt. 622, Cherylshire, WY 74186) </w:t>
        <w:br/>
        <w:t xml:space="preserve">Promoters </w:t>
        <w:br/>
        <w:t xml:space="preserve">Williams and Sons </w:t>
        <w:br/>
        <w:t xml:space="preserve">2007-12-10, </w:t>
        <w:br/>
        <w:t xml:space="preserve">2012-10-11 </w:t>
        <w:br/>
        <w:t xml:space="preserve">21,363,680 </w:t>
        <w:br/>
        <w:t xml:space="preserve">5 </w:t>
        <w:br/>
        <w:t xml:space="preserve">0.00 </w:t>
        <w:br/>
        <w:t xml:space="preserve">Pushpa Smith, Khan and Ramirez </w:t>
        <w:br/>
        <w:t xml:space="preserve">2010-11-30, </w:t>
        <w:br/>
        <w:t xml:space="preserve">2025 </w:t>
        <w:br/>
        <w:t xml:space="preserve">5,909,040 </w:t>
        <w:br/>
        <w:t xml:space="preserve">5 </w:t>
        <w:br/>
        <w:t xml:space="preserve">0.00 </w:t>
        <w:br/>
        <w:t xml:space="preserve">Keller, Chavez and Ramos </w:t>
        <w:br/>
        <w:t xml:space="preserve">1984-10-04, </w:t>
        <w:br/>
        <w:t xml:space="preserve">1986-03-10 </w:t>
        <w:br/>
        <w:t xml:space="preserve">9,090,800 </w:t>
        <w:br/>
        <w:t xml:space="preserve">5 </w:t>
        <w:br/>
        <w:t xml:space="preserve">0.00 </w:t>
        <w:br/>
        <w:t xml:space="preserve">Franklin Group2006-12-26, </w:t>
        <w:br/>
        <w:t xml:space="preserve">2003-12-07 </w:t>
        <w:br/>
        <w:t xml:space="preserve">9,090,800 </w:t>
        <w:br/>
        <w:t xml:space="preserve">5 </w:t>
        <w:br/>
        <w:t xml:space="preserve">0.00 </w:t>
        <w:br/>
        <w:t xml:space="preserve">Cannon, Smith and Jimenez1970-03-29, </w:t>
        <w:br/>
        <w:t xml:space="preserve">1983-10-21 </w:t>
        <w:br/>
        <w:t xml:space="preserve">1 </w:t>
        <w:br/>
        <w:t xml:space="preserve">100 </w:t>
        <w:br/>
        <w:t xml:space="preserve">53,000.00 </w:t>
        <w:br/>
        <w:t xml:space="preserve">Rakhi Girija Shetty^&amp; </w:t>
        <w:br/>
        <w:t xml:space="preserve">1978-12-15, </w:t>
        <w:br/>
        <w:t xml:space="preserve">2025 </w:t>
        <w:br/>
        <w:t xml:space="preserve">80 </w:t>
        <w:br/>
        <w:t xml:space="preserve">5 </w:t>
        <w:br/>
        <w:t xml:space="preserve">0.00 </w:t>
        <w:br/>
        <w:t xml:space="preserve">Sims-Wilson2000-05-14 </w:t>
        <w:br/>
        <w:t xml:space="preserve">10 </w:t>
        <w:br/>
        <w:t xml:space="preserve">5 </w:t>
        <w:br/>
        <w:t xml:space="preserve">0.00 </w:t>
        <w:br/>
        <w:t xml:space="preserve">Williams, Parker and Cross </w:t>
        <w:br/>
        <w:t xml:space="preserve">1982-03-04 </w:t>
        <w:br/>
        <w:t xml:space="preserve">10 </w:t>
        <w:br/>
        <w:t xml:space="preserve">5 </w:t>
        <w:br/>
        <w:t xml:space="preserve">0.00 </w:t>
        <w:br/>
        <w:t xml:space="preserve">Martin and Sons2014-11-18 </w:t>
        <w:br/>
        <w:t xml:space="preserve">10 </w:t>
        <w:br/>
        <w:t xml:space="preserve">5 </w:t>
        <w:br/>
        <w:t xml:space="preserve">0.00 </w:t>
        <w:br/>
        <w:t xml:space="preserve">Barr PLC </w:t>
        <w:br/>
        <w:t xml:space="preserve">2022-04-13, 1972-12-27 </w:t>
        <w:br/>
        <w:t xml:space="preserve">10 </w:t>
        <w:br/>
        <w:t xml:space="preserve">5 </w:t>
        <w:br/>
        <w:t xml:space="preserve">0.00 </w:t>
        <w:br/>
        <w:t xml:space="preserve">Salazar, Moore and Pierce </w:t>
        <w:br/>
        <w:t xml:space="preserve">2023-11-01, 2019-06-19 </w:t>
        <w:br/>
        <w:t xml:space="preserve">10 </w:t>
        <w:br/>
        <w:t xml:space="preserve">5 </w:t>
        <w:br/>
        <w:t xml:space="preserve">0.00 </w:t>
        <w:br/>
        <w:t xml:space="preserve">Miller-Zimmerman2013-02-23 </w:t>
        <w:br/>
        <w:t xml:space="preserve">10 </w:t>
        <w:br/>
        <w:t xml:space="preserve">5 </w:t>
        <w:br/>
        <w:t xml:space="preserve">0.00 </w:t>
        <w:br/>
        <w:t xml:space="preserve">Promoter Group </w:t>
        <w:br/>
        <w:t xml:space="preserve">Quinn, Davis and Mccarthy1981-02-28, </w:t>
        <w:br/>
        <w:t xml:space="preserve">2024-03-14 </w:t>
        <w:br/>
        <w:t xml:space="preserve">1 </w:t>
        <w:br/>
        <w:t xml:space="preserve">100 </w:t>
        <w:br/>
        <w:t xml:space="preserve">53,000.00 </w:t>
        <w:br/>
        <w:t xml:space="preserve">Maithili Rajesh Hegde^&amp; </w:t>
        <w:br/>
        <w:t xml:space="preserve">2018-06-01, </w:t>
        <w:br/>
        <w:t xml:space="preserve">2025 </w:t>
        <w:br/>
        <w:t xml:space="preserve">80 </w:t>
        <w:br/>
        <w:t xml:space="preserve">5 </w:t>
        <w:br/>
        <w:t xml:space="preserve">N.A. </w:t>
        <w:br/>
        <w:t xml:space="preserve">Nguyen-Wong1976-02-20, </w:t>
        <w:br/>
        <w:t xml:space="preserve">2000-12-10 </w:t>
        <w:br/>
        <w:t xml:space="preserve">1 </w:t>
        <w:br/>
        <w:t xml:space="preserve">100 </w:t>
        <w:br/>
        <w:t xml:space="preserve">53,000.00 </w:t>
        <w:br/>
        <w:t xml:space="preserve">Michelle Harris </w:t>
        <w:br/>
        <w:t xml:space="preserve">^&amp; </w:t>
        <w:br/>
        <w:t xml:space="preserve">2000-11-15, </w:t>
        <w:br/>
        <w:t xml:space="preserve">2025 </w:t>
        <w:br/>
        <w:t xml:space="preserve">80 </w:t>
        <w:br/>
        <w:t xml:space="preserve">5 </w:t>
        <w:br/>
        <w:t xml:space="preserve">N.A. </w:t>
        <w:br/>
        <w:t xml:space="preserve"> </w:t>
        <w:br/>
        <w:t xml:space="preserve"># </w:t>
        <w:br/>
        <w:t xml:space="preserve">As certified by Morris-Johnson, Pace, Horton and Taylor, our Statutory Auditors, by way of their certificate dated 1982-03-27. </w:t>
        <w:br/>
        <w:t xml:space="preserve">* </w:t>
        <w:br/>
        <w:t xml:space="preserve">Also, a Promoter Selling Shareholder. </w:t>
        <w:br/>
        <w:t xml:space="preserve">&amp; </w:t>
        <w:br/>
        <w:t xml:space="preserve">Shareholder entitled with right to nominate directors or any other rights </w:t>
        <w:br/>
        <w:t xml:space="preserve">^ </w:t>
        <w:br/>
        <w:t xml:space="preserve">Bonus shares issued in the ratio of 4:1. </w:t>
        <w:br/>
        <w:t xml:space="preserve"> </w:t>
        <w:br/>
        <w:t xml:space="preserve">Davis-Mason Shares of face value of ₹5 each in the form of Gifts </w:t>
        <w:br/>
        <w:t xml:space="preserve"> </w:t>
        <w:br/>
        <w:t xml:space="preserve">Transferee </w:t>
        <w:br/>
        <w:t>Transfer</w:t>
        <w:br/>
        <w:t xml:space="preserve">or </w:t>
        <w:br/>
        <w:t xml:space="preserve">Equity </w:t>
        <w:br/>
        <w:t>Shar</w:t>
        <w:br/>
        <w:t xml:space="preserve">es of </w:t>
        <w:br/>
        <w:t xml:space="preserve">face </w:t>
        <w:br/>
        <w:t>valu</w:t>
        <w:br/>
        <w:t xml:space="preserve">e of </w:t>
        <w:br/>
        <w:t xml:space="preserve">₹5 </w:t>
        <w:br/>
        <w:t xml:space="preserve">each </w:t>
        <w:br/>
        <w:t xml:space="preserve">Date </w:t>
        <w:br/>
        <w:t xml:space="preserve">Black, Thomas and Gallegos </w:t>
        <w:br/>
        <w:t xml:space="preserve">10 </w:t>
        <w:br/>
        <w:t xml:space="preserve">1973-09-17, 2011-09-22 </w:t>
        <w:br/>
        <w:t xml:space="preserve">Murray-Henderson </w:t>
        <w:br/>
        <w:t xml:space="preserve">10 </w:t>
        <w:br/>
        <w:t xml:space="preserve">2026-04-27, 2022-08-25 </w:t>
        <w:br/>
        <w:t xml:space="preserve">Gonzales-Wilkerson </w:t>
        <w:br/>
        <w:t xml:space="preserve">10 </w:t>
        <w:br/>
        <w:t xml:space="preserve">1982-12-02, 1973-05-10 </w:t>
        <w:br/>
      </w:r>
    </w:p>
    <w:p>
      <w:r>
        <w:br w:type="page"/>
      </w:r>
    </w:p>
    <w:p>
      <w:r>
        <w:t xml:space="preserve">47 </w:t>
        <w:br/>
        <w:t xml:space="preserve"> </w:t>
        <w:br/>
        <w:t xml:space="preserve">Simmons-Abbott </w:t>
        <w:br/>
        <w:t xml:space="preserve">Pushpa Kushal Hegde </w:t>
        <w:br/>
        <w:t xml:space="preserve">10 </w:t>
        <w:br/>
        <w:t xml:space="preserve">2018-02-05, 2023-08-21 </w:t>
        <w:br/>
        <w:t xml:space="preserve">Ramsey-Jacobs </w:t>
        <w:br/>
        <w:t xml:space="preserve">Pushpa Kushal Hegde </w:t>
        <w:br/>
        <w:t xml:space="preserve">10 </w:t>
        <w:br/>
        <w:t xml:space="preserve">1975-12-20, 2005-12-30 </w:t>
        <w:br/>
        <w:t xml:space="preserve">Duncan Ltd </w:t>
        <w:br/>
        <w:t xml:space="preserve">Pushpa Kushal Hegde </w:t>
        <w:br/>
        <w:t xml:space="preserve">10 </w:t>
        <w:br/>
        <w:t xml:space="preserve">1973-12-17, 2011-08-26 </w:t>
        <w:br/>
        <w:t xml:space="preserve"> </w:t>
        <w:br/>
        <w:t xml:space="preserve">Details of pre-IPO placement </w:t>
        <w:br/>
        <w:t xml:space="preserve">Our Company has not undertaken any pre-IPO placement between the date of the Draft Red Herring Prospectus and the date </w:t>
        <w:br/>
        <w:t xml:space="preserve">of Warren-Dominguez. </w:t>
        <w:br/>
        <w:t xml:space="preserve">Issue of equity shares of our Company for consideration other than cash in 2005-11-12 </w:t>
        <w:br/>
        <w:t xml:space="preserve">Except as disclosed in “Capital Structure – Notes to Capital Structure – Shares issued for consideration other than cash or by </w:t>
        <w:br/>
        <w:t xml:space="preserve">way of a bonus issue” on page 90, our Company has not issued any equity shares for consideration other than cash in the 1992-05-27 preceding the date of this Red Herring Prospectus. </w:t>
        <w:br/>
        <w:t xml:space="preserve">Split or consolidation of equity shares in 1988-09-03 </w:t>
        <w:br/>
        <w:t xml:space="preserve">Pursuant to a resolution passed by our Taylor-Neal dated 1989-12-05 and a resolution passed by our Shareholders dated </w:t>
        <w:br/>
        <w:t xml:space="preserve">1974-06-02, the face value of the equity shares was split from ₹100 per equity share to ₹5 per Equity Share. Accordingly, </w:t>
        <w:br/>
        <w:t xml:space="preserve">the authorised share capital of our Company, being 4,000,000 equity shares of ₹100 each was split into 80,000,000 Equity </w:t>
        <w:br/>
        <w:t xml:space="preserve">Shares of ₹5 each, and the issued, subscribed and paid-up equity share capital of our Company, being 568,182 equity shares of </w:t>
        <w:br/>
        <w:t xml:space="preserve">₹100 each was split into 1,13,63,640 Equity Shares of ₹5 each. For further details, please see “Capital Structure – Equity Share </w:t>
        <w:br/>
        <w:t xml:space="preserve">capital history of our Company” on page 85. </w:t>
        <w:br/>
        <w:t xml:space="preserve">Exemption from complying with any provisions of securities laws, if any, granted by the SEBI </w:t>
        <w:br/>
        <w:t xml:space="preserve">Our Company has not applied for or received any exemption by Chang PLC from complying with any provisions of securities laws </w:t>
        <w:br/>
        <w:t xml:space="preserve">including Richardson-Gray, as on the date of this Red Herring Prospectus. </w:t>
        <w:br/>
      </w:r>
    </w:p>
    <w:p>
      <w:r>
        <w:br w:type="page"/>
      </w:r>
    </w:p>
    <w:p>
      <w:r>
        <w:t xml:space="preserve">2016-08-25: RISK FACTORS </w:t>
        <w:br/>
        <w:t xml:space="preserve">An investment in equity shares involves a high degree of risk. Prospective investors should carefully consider all the information </w:t>
        <w:br/>
        <w:t xml:space="preserve">in this Red Herring Prospectus, including the risks and uncertainties described below, before making an investment in our </w:t>
        <w:br/>
        <w:t xml:space="preserve">Equity Shares. The risks described in this section are those that we consider to be the most significant to our business, results </w:t>
        <w:br/>
        <w:t xml:space="preserve">of operations and financial condition as of the date of this Red Herring Prospectus. The risks described below may not be </w:t>
        <w:br/>
        <w:t xml:space="preserve">exhaustive or the only ones relevant to us, the Equity Shares or the industry segments in which we currently operate. Additional </w:t>
        <w:br/>
        <w:t xml:space="preserve">risks and uncertainties, not presently known to us or that we currently do not deem material may arise or may become material </w:t>
        <w:br/>
        <w:t xml:space="preserve">in the future. If any or a combination of the following risks, or other risks that are not currently known or are not currently </w:t>
        <w:br/>
        <w:t xml:space="preserve">deemed material, actually occur, our business, results of operations, cash flows and financial condition could be adversely </w:t>
        <w:br/>
        <w:t xml:space="preserve">affected, the trading price of our Equity Shares could decline, and investors may lose all or part of their investment. The risk </w:t>
        <w:br/>
        <w:t xml:space="preserve">factors have been presented below on the basis of their materiality. Furthermore, some events may be material collectively </w:t>
        <w:br/>
        <w:t xml:space="preserve">rather than individually. Some events may not be material at present but may have a material impact in the future. In making </w:t>
        <w:br/>
        <w:t xml:space="preserve">an investment decision, prospective investors must rely on their own examination of us and our business and the terms of the </w:t>
        <w:br/>
        <w:t xml:space="preserve">Offer, including the merits and risks involved. Potential investors should consult their tax, financial and legal advisors about </w:t>
        <w:br/>
        <w:t xml:space="preserve">the particular consequences of purchasing our Equity Shares. </w:t>
        <w:br/>
        <w:t xml:space="preserve">In order to obtain a complete understanding of our Company and our business, prospective investors should read this section </w:t>
        <w:br/>
        <w:t xml:space="preserve">in conjunction with “Industry Overview”, “Our Business”, “Key Regulations and Policies in PSC 0849, Box 5880, APO AE 76181”, “Restated Financial </w:t>
        <w:br/>
        <w:t xml:space="preserve">Statements”, “Management’s Discussion and Analysis of Financial Condition and Results of Operations” and “Outstanding </w:t>
        <w:br/>
        <w:t xml:space="preserve">Litigation and Material Developments” on pages 137, 211, 238, 280, 356 and 388, respectively, as well as the other financial </w:t>
        <w:br/>
        <w:t xml:space="preserve">and statistical information contained in this Red Herring Prospectus. </w:t>
        <w:br/>
        <w:t xml:space="preserve">Huang, Ford and Olsen also contains forward-looking statements that involve risks, assumptions, estimates, uncertainties </w:t>
        <w:br/>
        <w:t>and other factors, many of which are beyond our control. Our actual results could differ from those anticipated in these forward-</w:t>
        <w:br/>
        <w:t xml:space="preserve">looking statements as a result of certain factors, including the considerations described below and elsewhere in this Red Herring </w:t>
        <w:br/>
        <w:t xml:space="preserve">Prospectus. For more details, see “Forward-Looking Statements” on page 18. </w:t>
        <w:br/>
        <w:t xml:space="preserve">Unless otherwise stated, or unless the context otherwise requires, the financial information of our Company used in this section </w:t>
        <w:br/>
        <w:t xml:space="preserve">has been derived from our Restated Financial Statements included in this Red Herring Prospectus on page 280. Our financial </w:t>
        <w:br/>
        <w:t xml:space="preserve">year ends on 2001-05-06. Accordingly, references to “Fiscal 2025”, “Fiscal 2024” and “Fiscal 2023”, “Fiscals 2025, </w:t>
        <w:br/>
        <w:t xml:space="preserve">2012-09-06, and 1980-07-29” or “financial 2002-10-07, 1979-03-29, 2013-12-08 and 1972-06-02, 2024-04-02” are to the 2002-04-16 period </w:t>
        <w:br/>
        <w:t xml:space="preserve">ended 2002-08-09 of 2015-10-06. </w:t>
        <w:br/>
        <w:t xml:space="preserve">We have also included various financial and operational performance indicators in this Red Herring Prospectus, some of which </w:t>
        <w:br/>
        <w:t xml:space="preserve">have not been derived from Lee LLC. The manner of calculation and presentation of some of these </w:t>
        <w:br/>
        <w:t xml:space="preserve">financial and operational performance indicators, and the assumptions and estimates used in such calculations, may vary from </w:t>
        <w:br/>
        <w:t xml:space="preserve">those used by other companies in 4885 Daniel Isle, Randyshire, RI 04317 and other jurisdictions. </w:t>
        <w:br/>
        <w:t xml:space="preserve">Unless stated otherwise, industry and market data used in this section has been obtained or derived from the report titled </w:t>
        <w:br/>
        <w:t xml:space="preserve">“Industry Research Report on Magnet Winding Wires Market in 01071 Lauren Mall Suite 055, North Danielle, UT 37414” dated 2011-06-21 (“CARE Report”), prepared </w:t>
        <w:br/>
        <w:t xml:space="preserve">and issued by Vasquez-White pursuant to an engagement letter dated 2012-12-30, and </w:t>
        <w:br/>
        <w:t xml:space="preserve">exclusively commissioned and paid for by us in connection with the Offer. The industry-related information included herein </w:t>
        <w:br/>
        <w:t xml:space="preserve">includes excerpts from the CARE Report and may have been re-ordered by us for the purposes of presentation. Unless otherwise </w:t>
        <w:br/>
        <w:t xml:space="preserve">indicated, all financial, operational, industry and other related information derived from the CARE Report and included herein </w:t>
        <w:br/>
        <w:t xml:space="preserve">with respect to any 2019-08-15 refers to such information for 2005-05-14. The CARE Report will be available </w:t>
        <w:br/>
        <w:t xml:space="preserve">on the website of our Company from the date of this Red Herring Prospectus until the Bid/Offer Closing Date. For more </w:t>
        <w:br/>
        <w:t xml:space="preserve">information, see “Certain Conventions, Use of Financial Information and Market Data and Currency of Presentation” on page </w:t>
        <w:br/>
        <w:t xml:space="preserve">15. </w:t>
        <w:br/>
        <w:t xml:space="preserve">INTERNAL RISKS </w:t>
        <w:br/>
        <w:t xml:space="preserve">1. </w:t>
        <w:br/>
        <w:t xml:space="preserve">We depend on certain customers for a significant portion of our revenue from operations. Our top 10 customers </w:t>
        <w:br/>
        <w:t xml:space="preserve">contributed to 53.97%, 52.54%, 57.10% and 58.99% of our revenue from operations for the 2003-10-13 period </w:t>
        <w:br/>
        <w:t xml:space="preserve">ended 2008-04-15, and Fiscals 2025, 2011-10-21 and 1978-10-30, respectively. Any decrease in demand from such customers, </w:t>
        <w:br/>
        <w:t xml:space="preserve">the loss of such customers or our inability to diversify our customer base could have an adverse effect on our </w:t>
        <w:br/>
        <w:t xml:space="preserve">business, results of operations, financial condition and cash flows. </w:t>
        <w:br/>
        <w:t xml:space="preserve">We have derived a significant portion of our revenue from operations from our top 10 customers. The table below </w:t>
        <w:br/>
        <w:t xml:space="preserve">sets forth details of our revenue from operations generated from top 10 customers in each of the period/ Kenneth Hanson </w:t>
        <w:br/>
        <w:t xml:space="preserve">indicated: </w:t>
        <w:br/>
        <w:t xml:space="preserve"> </w:t>
        <w:br/>
      </w:r>
    </w:p>
    <w:p>
      <w:r>
        <w:br w:type="page"/>
      </w:r>
    </w:p>
    <w:p>
      <w:r>
        <w:t xml:space="preserve">49 </w:t>
        <w:br/>
        <w:t xml:space="preserve"> </w:t>
        <w:br/>
        <w:t xml:space="preserve">Particulars </w:t>
        <w:br/>
        <w:t xml:space="preserve">1972-02-14 </w:t>
        <w:br/>
        <w:t xml:space="preserve">period </w:t>
        <w:br/>
        <w:t xml:space="preserve">ended 1989-01-31, 1980-02-28 </w:t>
        <w:br/>
        <w:t xml:space="preserve">Fiscal </w:t>
        <w:br/>
        <w:t xml:space="preserve">1974-07-04 </w:t>
        <w:br/>
        <w:t xml:space="preserve">Fiscal </w:t>
        <w:br/>
        <w:t xml:space="preserve">1994-01-23 </w:t>
        <w:br/>
        <w:t xml:space="preserve">Fiscal </w:t>
        <w:br/>
        <w:t xml:space="preserve">2023 </w:t>
        <w:br/>
        <w:t xml:space="preserve">Revenue from top 10 customers (Marsh-Barron in million) </w:t>
        <w:br/>
        <w:t xml:space="preserve">3,015.48 </w:t>
        <w:br/>
        <w:t>10,</w:t>
        <w:br/>
        <w:t>13</w:t>
        <w:br/>
        <w:t>0.3</w:t>
        <w:br/>
        <w:t xml:space="preserve">2 </w:t>
        <w:br/>
        <w:t>7</w:t>
        <w:br/>
        <w:t>,</w:t>
        <w:br/>
        <w:t>8</w:t>
        <w:br/>
        <w:t>9</w:t>
        <w:br/>
        <w:t>6</w:t>
        <w:br/>
        <w:t>.</w:t>
        <w:br/>
        <w:t>0</w:t>
        <w:br/>
        <w:t xml:space="preserve">4 </w:t>
        <w:br/>
        <w:t>6</w:t>
        <w:br/>
        <w:t>,</w:t>
        <w:br/>
        <w:t>1</w:t>
        <w:br/>
        <w:t>9</w:t>
        <w:br/>
        <w:t>1</w:t>
        <w:br/>
        <w:t>.</w:t>
        <w:br/>
        <w:t>0</w:t>
        <w:br/>
        <w:t xml:space="preserve">5 </w:t>
        <w:br/>
        <w:t xml:space="preserve"> </w:t>
        <w:br/>
      </w:r>
    </w:p>
    <w:p>
      <w:r>
        <w:br w:type="page"/>
      </w:r>
    </w:p>
    <w:p>
      <w:r>
        <w:t xml:space="preserve">50 </w:t>
        <w:br/>
        <w:t xml:space="preserve"> </w:t>
        <w:br/>
        <w:t>Particula</w:t>
        <w:br/>
        <w:t xml:space="preserve">rs </w:t>
        <w:br/>
        <w:t xml:space="preserve">1995-06-20 </w:t>
        <w:br/>
        <w:t xml:space="preserve">period </w:t>
        <w:br/>
        <w:t xml:space="preserve">ended 1977-08-21, 1981-11-28 </w:t>
        <w:br/>
        <w:t xml:space="preserve">Fiscal </w:t>
        <w:br/>
        <w:t xml:space="preserve">1990-07-29 </w:t>
        <w:br/>
        <w:t xml:space="preserve">Fiscal </w:t>
        <w:br/>
        <w:t xml:space="preserve">2005-09-25 </w:t>
        <w:br/>
        <w:t xml:space="preserve">Fiscal </w:t>
        <w:br/>
        <w:t xml:space="preserve">2023 </w:t>
        <w:br/>
        <w:t xml:space="preserve">Revenue from top 10 customers as a percentage </w:t>
        <w:br/>
        <w:t xml:space="preserve">of total revenue from operations (%) </w:t>
        <w:br/>
        <w:t xml:space="preserve">53.97% </w:t>
        <w:br/>
        <w:t xml:space="preserve">52.54% </w:t>
        <w:br/>
        <w:t xml:space="preserve">57.10% </w:t>
        <w:br/>
        <w:t xml:space="preserve">58.99% </w:t>
        <w:br/>
        <w:t xml:space="preserve">Total </w:t>
        <w:br/>
        <w:t xml:space="preserve">revenue </w:t>
        <w:br/>
        <w:t xml:space="preserve">from </w:t>
        <w:br/>
        <w:t xml:space="preserve">operations </w:t>
        <w:br/>
        <w:t xml:space="preserve">5,587.12 </w:t>
        <w:br/>
        <w:t xml:space="preserve">19,282.93 </w:t>
        <w:br/>
        <w:t xml:space="preserve">13,828.15 </w:t>
        <w:br/>
        <w:t xml:space="preserve">10,494.60 </w:t>
        <w:br/>
        <w:t xml:space="preserve"> </w:t>
        <w:br/>
        <w:t xml:space="preserve"> </w:t>
        <w:br/>
        <w:t xml:space="preserve">The table below sets forth the revenue derived from each of our top 10 customers, for the period/ Ronald Turner indicated: </w:t>
        <w:br/>
        <w:t xml:space="preserve"> </w:t>
        <w:br/>
        <w:t>S</w:t>
        <w:br/>
        <w:t xml:space="preserve">. </w:t>
        <w:br/>
        <w:t>N</w:t>
        <w:br/>
        <w:t>o</w:t>
        <w:br/>
        <w:t xml:space="preserve">. </w:t>
        <w:br/>
        <w:t>Brandon Wiley</w:t>
        <w:br/>
        <w:t xml:space="preserve">us </w:t>
        <w:br/>
        <w:t>custo</w:t>
        <w:br/>
        <w:t xml:space="preserve">mer </w:t>
        <w:br/>
        <w:t>s</w:t>
        <w:br/>
        <w:t xml:space="preserve">* </w:t>
        <w:br/>
        <w:t xml:space="preserve">1972-02-26 </w:t>
        <w:br/>
        <w:t xml:space="preserve">period ended </w:t>
        <w:br/>
        <w:t xml:space="preserve">June 30, 2018-04-22 </w:t>
        <w:br/>
        <w:t xml:space="preserve">Fiscal </w:t>
        <w:br/>
        <w:t xml:space="preserve">1991-05-27 </w:t>
        <w:br/>
        <w:t xml:space="preserve">Fiscal </w:t>
        <w:br/>
        <w:t xml:space="preserve">2017-12-29 </w:t>
        <w:br/>
        <w:t xml:space="preserve">Fiscal </w:t>
        <w:br/>
        <w:t xml:space="preserve">2023 </w:t>
        <w:br/>
        <w:t>Amo</w:t>
        <w:br/>
        <w:t xml:space="preserve">unt </w:t>
        <w:br/>
        <w:t xml:space="preserve">(Larson LLC in </w:t>
        <w:br/>
        <w:t>milli</w:t>
        <w:br/>
        <w:t xml:space="preserve">on) </w:t>
        <w:br/>
        <w:t xml:space="preserve">% </w:t>
        <w:br/>
        <w:t xml:space="preserve">of </w:t>
        <w:br/>
        <w:t>rev</w:t>
        <w:br/>
        <w:t>enu</w:t>
        <w:br/>
        <w:t xml:space="preserve">e </w:t>
        <w:br/>
        <w:t>fro</w:t>
        <w:br/>
        <w:t xml:space="preserve">m </w:t>
        <w:br/>
        <w:t>oper</w:t>
        <w:br/>
        <w:t xml:space="preserve">atio </w:t>
        <w:br/>
        <w:t xml:space="preserve">ns </w:t>
        <w:br/>
        <w:t xml:space="preserve">Amount </w:t>
        <w:br/>
        <w:t xml:space="preserve">(₹ </w:t>
        <w:br/>
        <w:t xml:space="preserve">in </w:t>
        <w:br/>
        <w:t xml:space="preserve">million) </w:t>
        <w:br/>
        <w:t xml:space="preserve">% of </w:t>
        <w:br/>
        <w:t>reven</w:t>
        <w:br/>
        <w:t xml:space="preserve">ue </w:t>
        <w:br/>
        <w:t xml:space="preserve">from </w:t>
        <w:br/>
        <w:t>opera</w:t>
        <w:br/>
        <w:t xml:space="preserve">tions </w:t>
        <w:br/>
        <w:t>Amou</w:t>
        <w:br/>
        <w:t xml:space="preserve">nt </w:t>
        <w:br/>
        <w:t xml:space="preserve">(₹ </w:t>
        <w:br/>
        <w:t xml:space="preserve">in </w:t>
        <w:br/>
        <w:t>mil</w:t>
        <w:br/>
        <w:t xml:space="preserve">Duncan Group) </w:t>
        <w:br/>
        <w:t xml:space="preserve">% of </w:t>
        <w:br/>
        <w:t>reven</w:t>
        <w:br/>
        <w:t xml:space="preserve">ue </w:t>
        <w:br/>
        <w:t xml:space="preserve">from </w:t>
        <w:br/>
        <w:t>opera</w:t>
        <w:br/>
        <w:t xml:space="preserve">tions </w:t>
        <w:br/>
        <w:t>Amou</w:t>
        <w:br/>
        <w:t xml:space="preserve">nt </w:t>
        <w:br/>
        <w:t xml:space="preserve">(₹ </w:t>
        <w:br/>
        <w:t xml:space="preserve">in </w:t>
        <w:br/>
        <w:t>mil</w:t>
        <w:br/>
        <w:t xml:space="preserve">Terrell-Sims) </w:t>
        <w:br/>
        <w:t xml:space="preserve">% of </w:t>
        <w:br/>
        <w:t>reven</w:t>
        <w:br/>
        <w:t xml:space="preserve">ue </w:t>
        <w:br/>
        <w:t xml:space="preserve">from </w:t>
        <w:br/>
        <w:t>opera</w:t>
        <w:br/>
        <w:t xml:space="preserve">tions </w:t>
        <w:br/>
        <w:t>1</w:t>
        <w:br/>
        <w:t xml:space="preserve">. </w:t>
        <w:br/>
        <w:t>Custom</w:t>
        <w:br/>
        <w:t xml:space="preserve">er </w:t>
        <w:br/>
        <w:t xml:space="preserve">660.03 </w:t>
        <w:br/>
        <w:t xml:space="preserve">11.81% </w:t>
        <w:br/>
        <w:t>1,96</w:t>
        <w:br/>
        <w:t xml:space="preserve">3.92 </w:t>
        <w:br/>
        <w:t xml:space="preserve">10.18% </w:t>
        <w:br/>
        <w:t xml:space="preserve">1,446.66 </w:t>
        <w:br/>
        <w:t xml:space="preserve">10.46% </w:t>
        <w:br/>
        <w:t xml:space="preserve">1,303.86 </w:t>
        <w:br/>
        <w:t xml:space="preserve">12.42% </w:t>
        <w:br/>
        <w:t>2</w:t>
        <w:br/>
        <w:t xml:space="preserve">. </w:t>
        <w:br/>
        <w:t>Custom</w:t>
        <w:br/>
        <w:t xml:space="preserve">er </w:t>
        <w:br/>
        <w:t xml:space="preserve">609.48 </w:t>
        <w:br/>
        <w:t xml:space="preserve">10.91% </w:t>
        <w:br/>
        <w:t>1,70</w:t>
        <w:br/>
        <w:t xml:space="preserve">2.54 </w:t>
        <w:br/>
        <w:t xml:space="preserve">8.83% </w:t>
        <w:br/>
        <w:t xml:space="preserve">1,396.23 </w:t>
        <w:br/>
        <w:t xml:space="preserve">10.10% </w:t>
        <w:br/>
        <w:t xml:space="preserve">765.18 </w:t>
        <w:br/>
        <w:t xml:space="preserve">7.29% </w:t>
        <w:br/>
        <w:t>3</w:t>
        <w:br/>
        <w:t xml:space="preserve">. </w:t>
        <w:br/>
        <w:t>Custom</w:t>
        <w:br/>
        <w:t xml:space="preserve">er </w:t>
        <w:br/>
        <w:t xml:space="preserve">352.56 </w:t>
        <w:br/>
        <w:t xml:space="preserve">6.31% </w:t>
        <w:br/>
        <w:t>9</w:t>
        <w:br/>
        <w:t>3</w:t>
        <w:br/>
        <w:t>4</w:t>
        <w:br/>
        <w:t>.</w:t>
        <w:br/>
        <w:t>5</w:t>
        <w:br/>
        <w:t xml:space="preserve">3 </w:t>
        <w:br/>
        <w:t xml:space="preserve">4.85% </w:t>
        <w:br/>
        <w:t xml:space="preserve">856.66 </w:t>
        <w:br/>
        <w:t xml:space="preserve">6.20% </w:t>
        <w:br/>
        <w:t xml:space="preserve">672.20 </w:t>
        <w:br/>
        <w:t xml:space="preserve">6.41% </w:t>
        <w:br/>
        <w:t>4</w:t>
        <w:br/>
        <w:t xml:space="preserve">. </w:t>
        <w:br/>
        <w:t>Custom</w:t>
        <w:br/>
        <w:t xml:space="preserve">er </w:t>
        <w:br/>
        <w:t xml:space="preserve">241.41 </w:t>
        <w:br/>
        <w:t xml:space="preserve">4.32% </w:t>
        <w:br/>
        <w:t>8</w:t>
        <w:br/>
        <w:t>9</w:t>
        <w:br/>
        <w:t>5</w:t>
        <w:br/>
        <w:t>.</w:t>
        <w:br/>
        <w:t>2</w:t>
        <w:br/>
        <w:t xml:space="preserve">1 </w:t>
        <w:br/>
        <w:t xml:space="preserve">4.64% </w:t>
        <w:br/>
        <w:t xml:space="preserve">774.13 </w:t>
        <w:br/>
        <w:t xml:space="preserve">5.60% </w:t>
        <w:br/>
        <w:t xml:space="preserve">632.42 </w:t>
        <w:br/>
        <w:t xml:space="preserve">6.03% </w:t>
        <w:br/>
        <w:t>5</w:t>
        <w:br/>
        <w:t xml:space="preserve">. </w:t>
        <w:br/>
        <w:t>Custom</w:t>
        <w:br/>
        <w:t xml:space="preserve">er </w:t>
        <w:br/>
        <w:t xml:space="preserve">227.08 </w:t>
        <w:br/>
        <w:t xml:space="preserve">4.06% </w:t>
        <w:br/>
        <w:t>8</w:t>
        <w:br/>
        <w:t>7</w:t>
        <w:br/>
        <w:t>3</w:t>
        <w:br/>
        <w:t>.</w:t>
        <w:br/>
        <w:t>7</w:t>
        <w:br/>
        <w:t xml:space="preserve">9 </w:t>
        <w:br/>
        <w:t xml:space="preserve">4.53% </w:t>
        <w:br/>
        <w:t xml:space="preserve">758.39 </w:t>
        <w:br/>
        <w:t xml:space="preserve">5.48% </w:t>
        <w:br/>
        <w:t xml:space="preserve">606.45 </w:t>
        <w:br/>
        <w:t xml:space="preserve">5.78% </w:t>
        <w:br/>
        <w:t>6</w:t>
        <w:br/>
        <w:t xml:space="preserve">. </w:t>
        <w:br/>
        <w:t>Custom</w:t>
        <w:br/>
        <w:t xml:space="preserve">er </w:t>
        <w:br/>
        <w:t xml:space="preserve">220.83 </w:t>
        <w:br/>
        <w:t xml:space="preserve">3.95% </w:t>
        <w:br/>
        <w:t>8</w:t>
        <w:br/>
        <w:t>6</w:t>
        <w:br/>
        <w:t>8</w:t>
        <w:br/>
        <w:t>.</w:t>
        <w:br/>
        <w:t>6</w:t>
        <w:br/>
        <w:t xml:space="preserve">4 </w:t>
        <w:br/>
        <w:t xml:space="preserve">4.50% </w:t>
        <w:br/>
        <w:t xml:space="preserve">632.78 </w:t>
        <w:br/>
        <w:t xml:space="preserve">4.58% </w:t>
        <w:br/>
        <w:t xml:space="preserve">541.86 </w:t>
        <w:br/>
        <w:t xml:space="preserve">5.16% </w:t>
        <w:br/>
        <w:t>7</w:t>
        <w:br/>
        <w:t xml:space="preserve">. </w:t>
        <w:br/>
        <w:t>Custom</w:t>
        <w:br/>
        <w:t xml:space="preserve">er </w:t>
        <w:br/>
        <w:t xml:space="preserve">211.66 </w:t>
        <w:br/>
        <w:t xml:space="preserve">3.79% </w:t>
        <w:br/>
        <w:t>8</w:t>
        <w:br/>
        <w:t>0</w:t>
        <w:br/>
        <w:t>9</w:t>
        <w:br/>
        <w:t>.</w:t>
        <w:br/>
        <w:t>8</w:t>
        <w:br/>
        <w:t xml:space="preserve">7 </w:t>
        <w:br/>
        <w:t xml:space="preserve">4.20% </w:t>
        <w:br/>
        <w:t xml:space="preserve">576.64 </w:t>
        <w:br/>
        <w:t xml:space="preserve">4.17% </w:t>
        <w:br/>
        <w:t xml:space="preserve">518.98 </w:t>
        <w:br/>
        <w:t xml:space="preserve">4.95% </w:t>
        <w:br/>
      </w:r>
    </w:p>
    <w:p>
      <w:r>
        <w:br w:type="page"/>
      </w:r>
    </w:p>
    <w:p>
      <w:r>
        <w:t xml:space="preserve">51 </w:t>
        <w:br/>
        <w:t xml:space="preserve"> </w:t>
        <w:br/>
        <w:t>8</w:t>
        <w:br/>
        <w:t xml:space="preserve">. </w:t>
        <w:br/>
        <w:t>Custom</w:t>
        <w:br/>
        <w:t xml:space="preserve">er </w:t>
        <w:br/>
        <w:t xml:space="preserve">172.37 </w:t>
        <w:br/>
        <w:t xml:space="preserve">3.09% </w:t>
        <w:br/>
        <w:t>7</w:t>
        <w:br/>
        <w:t>6</w:t>
        <w:br/>
        <w:t>3</w:t>
        <w:br/>
        <w:t>.</w:t>
        <w:br/>
        <w:t>8</w:t>
        <w:br/>
        <w:t xml:space="preserve">1 </w:t>
        <w:br/>
        <w:t xml:space="preserve">3.96% </w:t>
        <w:br/>
        <w:t xml:space="preserve">517.62 </w:t>
        <w:br/>
        <w:t xml:space="preserve">3.74% </w:t>
        <w:br/>
        <w:t xml:space="preserve">396.52 </w:t>
        <w:br/>
        <w:t xml:space="preserve">3.78% </w:t>
        <w:br/>
        <w:t>9</w:t>
        <w:br/>
        <w:t xml:space="preserve">. </w:t>
        <w:br/>
        <w:t>Custom</w:t>
        <w:br/>
        <w:t xml:space="preserve">er </w:t>
        <w:br/>
        <w:t xml:space="preserve">165.63 </w:t>
        <w:br/>
        <w:t xml:space="preserve">2.96% </w:t>
        <w:br/>
        <w:t>7</w:t>
        <w:br/>
        <w:t>0</w:t>
        <w:br/>
        <w:t>4</w:t>
        <w:br/>
        <w:t>.</w:t>
        <w:br/>
        <w:t>6</w:t>
        <w:br/>
        <w:t xml:space="preserve">9 </w:t>
        <w:br/>
        <w:t xml:space="preserve">3.65% </w:t>
        <w:br/>
        <w:t xml:space="preserve">470.48 </w:t>
        <w:br/>
        <w:t xml:space="preserve">3.40% </w:t>
        <w:br/>
        <w:t xml:space="preserve">384.27 </w:t>
        <w:br/>
        <w:t xml:space="preserve">3.66% </w:t>
        <w:br/>
        <w:t>1</w:t>
        <w:br/>
        <w:t>0</w:t>
        <w:br/>
        <w:t xml:space="preserve">. </w:t>
        <w:br/>
        <w:t>Custom</w:t>
        <w:br/>
        <w:t xml:space="preserve">er </w:t>
        <w:br/>
        <w:t xml:space="preserve">154.43 </w:t>
        <w:br/>
        <w:t xml:space="preserve">2.76% </w:t>
        <w:br/>
        <w:t>6</w:t>
        <w:br/>
        <w:t>1</w:t>
        <w:br/>
        <w:t>3</w:t>
        <w:br/>
        <w:t>.</w:t>
        <w:br/>
        <w:t>3</w:t>
        <w:br/>
        <w:t xml:space="preserve">0 </w:t>
        <w:br/>
        <w:t xml:space="preserve">3.18% </w:t>
        <w:br/>
        <w:t xml:space="preserve">466.46 </w:t>
        <w:br/>
        <w:t xml:space="preserve">3.37% </w:t>
        <w:br/>
        <w:t xml:space="preserve">369.31 </w:t>
        <w:br/>
        <w:t xml:space="preserve">3.52% </w:t>
        <w:br/>
        <w:t xml:space="preserve"> </w:t>
        <w:br/>
        <w:t xml:space="preserve">Total </w:t>
        <w:br/>
        <w:t xml:space="preserve">3,015.48 </w:t>
        <w:br/>
        <w:t xml:space="preserve">53.97% </w:t>
        <w:br/>
        <w:t>10,130</w:t>
        <w:br/>
        <w:t xml:space="preserve">.32 </w:t>
        <w:br/>
        <w:t xml:space="preserve">52.54% </w:t>
        <w:br/>
        <w:t xml:space="preserve">7,896.04 </w:t>
        <w:br/>
        <w:t xml:space="preserve">57.10% </w:t>
        <w:br/>
        <w:t xml:space="preserve">6,191.05 </w:t>
        <w:br/>
        <w:t xml:space="preserve">58.99% </w:t>
        <w:br/>
        <w:t xml:space="preserve"> </w:t>
        <w:br/>
        <w:t xml:space="preserve">* These customers represent the top 10 customers for each of the respective periods/ Joseph Mejia and may not necessarily be the same customers across </w:t>
        <w:br/>
        <w:t xml:space="preserve">the periods/ Fiscals. </w:t>
        <w:br/>
        <w:t xml:space="preserve">Note: Our top 10 customers include Flores and Sons, Edwards, Lane and Collins; Garcia Ltd; Charles, Wiggins and Cook; Collins Inc; Reeves-Boyd; Haney, Harris and Johnson (India) Limited; and Short PLC. Names of other customers who form part of our top 10 customers during the </w:t>
        <w:br/>
        <w:t xml:space="preserve">periods/ Fiscals included above, have not been included in this Red Herring Prospectus due to non-receipt of consent from such customers to be </w:t>
        <w:br/>
        <w:t xml:space="preserve">named in Rowe-Thomas. </w:t>
        <w:br/>
        <w:t xml:space="preserve"> </w:t>
        <w:br/>
        <w:t xml:space="preserve">We had 122, 117 and 117 customers during 2005-08-19, 2019-11-04, 2002-11-25, and 1993-02-22, </w:t>
        <w:br/>
        <w:t xml:space="preserve">1982-12-11, respectively. Further, during the 1980-06-26 period ended 2004-01-11, we invoiced 93 customers. Since a </w:t>
        <w:br/>
        <w:t xml:space="preserve">significant portion of our revenue from operations is derived from certain key customers with long-standing, the loss </w:t>
        <w:br/>
        <w:t xml:space="preserve">of one or more of such customers or a reduction in the amount of business we obtain from them could have an adverse </w:t>
        <w:br/>
        <w:t xml:space="preserve">effect on our business and results of operations, financial condition and cash flows. Of our top 10 customers based on </w:t>
        <w:br/>
        <w:t xml:space="preserve">revenue contribution for 2002-11-05, 2024-05-16, 5 of our customers have been customers for 1971-09-12 </w:t>
        <w:br/>
        <w:t xml:space="preserve">intermittently, 2 of our customers have been customers for 2004-06-07, and the other 3 have been our customers for 2000-03-14. </w:t>
        <w:br/>
        <w:t xml:space="preserve">Except as disclosed in the section titled “Outstanding Litigation and Material Developments – A. Litigation Involving </w:t>
        <w:br/>
        <w:t xml:space="preserve">our Company – Criminal proceedings by our Strickland Inc” on page 389, there have not been any instances of disputes </w:t>
        <w:br/>
        <w:t xml:space="preserve">with our customers or adverse changes in our relationship with our customers in the past, we cannot assure you that </w:t>
        <w:br/>
        <w:t xml:space="preserve">such instances will not occur in the future and have a material adverse impact on our business, result of operations, </w:t>
        <w:br/>
        <w:t xml:space="preserve">cash flows and financial condition. Our reliance on a select group of customers may also constrain our ability to </w:t>
        <w:br/>
        <w:t xml:space="preserve">negotiate our arrangements, including pricing, which may have an impact on our profit margins and financial </w:t>
        <w:br/>
        <w:t xml:space="preserve">performance. The deterioration of the financial condition or a decline in the budgetary allocations of these customers </w:t>
        <w:br/>
        <w:t xml:space="preserve">could reduce their demand for our products and result in a significant decrease in the revenues we derive from them. </w:t>
        <w:br/>
        <w:t xml:space="preserve">Furthermore, key customers may become subject to international sanctions, which could further adversely affect our </w:t>
        <w:br/>
        <w:t xml:space="preserve">business and revenues. </w:t>
        <w:br/>
        <w:t xml:space="preserve">The volume and timing of sales to such customers may also vary due to a change in their requirements, geo-political </w:t>
        <w:br/>
        <w:t xml:space="preserve">issues and management of inventory levels. Furthermore, we do not have firm commitments in the form of continuing </w:t>
        <w:br/>
        <w:t xml:space="preserve">or long-term supply agreements with some of our customers and instead rely on orders for manufacture of specific </w:t>
        <w:br/>
        <w:t xml:space="preserve">products on a purchase order basis, which governs the volume and other terms of the sale of our products. We need to </w:t>
        <w:br/>
        <w:t xml:space="preserve">maintain sufficient inventory levels of raw material to meet customer expectations at all times. Accumulating excess </w:t>
        <w:br/>
        <w:t xml:space="preserve">inventory could increase our inventory costs, and a failure to have adequate inventory in stock to fulfil customer orders </w:t>
        <w:br/>
        <w:t xml:space="preserve">could result in inability to meet customer demand or loss of customers. As actual orders by our customers are typically </w:t>
        <w:br/>
        <w:t xml:space="preserve">placed by way of ‘make to order’/ specific purchase orders, we are exposed to significant or unexpected changes in </w:t>
        <w:br/>
        <w:t xml:space="preserve">product specifications and delivery schedules, which may result in a mismatch between our inventories of raw </w:t>
        <w:br/>
        <w:t xml:space="preserve">materials, thereby increasing our costs for maintaining inventory. Our inability to forecast the level of customer demand </w:t>
        <w:br/>
        <w:t xml:space="preserve">for our products as well as our inability to accurately schedule our raw material purchases and production and manage </w:t>
        <w:br/>
        <w:t xml:space="preserve">our inventory may adversely affect our business and cash flows from operations. We cannot assure you that </w:t>
        <w:br/>
      </w:r>
    </w:p>
    <w:p>
      <w:r>
        <w:br w:type="page"/>
      </w:r>
    </w:p>
    <w:p>
      <w:r>
        <w:t xml:space="preserve">52 </w:t>
        <w:br/>
        <w:t xml:space="preserve"> </w:t>
        <w:br/>
        <w:t xml:space="preserve">our customers will place further orders with us in the future or that we will be able to maintain historic levels of </w:t>
        <w:br/>
        <w:t xml:space="preserve">business from them, or that we will be able to significantly reduce customers concentration in the future. The loss of </w:t>
        <w:br/>
        <w:t xml:space="preserve">business from any of these customers due to any reason could adversely affect our business, results of operations, </w:t>
        <w:br/>
        <w:t xml:space="preserve">financial condition and cash flows. </w:t>
        <w:br/>
        <w:t xml:space="preserve">2. </w:t>
        <w:br/>
        <w:t xml:space="preserve">Our business is dependent on suppliers to procure our raw materials (top 10 suppliers contributed to 98.91%, </w:t>
        <w:br/>
        <w:t xml:space="preserve">98.45%, 96.93% and 98.58% of our total cost of raw materials and components purchased for the 1996-02-08 </w:t>
        <w:br/>
        <w:t xml:space="preserve">period ended 1977-03-17, and Fiscals 2025, 1973-06-08, and 2015-12-20, respectively). We have not entered into long-term </w:t>
        <w:br/>
        <w:t xml:space="preserve">agreements with these suppliers, and any loss of suppliers or interruptions in the timely delivery of raw materials or </w:t>
        <w:br/>
        <w:t xml:space="preserve">volatility in their prices could have an adverse impact on our business, financial condition, cash flows and results </w:t>
        <w:br/>
        <w:t xml:space="preserve">of operations. </w:t>
        <w:br/>
        <w:t>S</w:t>
        <w:br/>
        <w:t xml:space="preserve">. </w:t>
        <w:br/>
        <w:t>N</w:t>
        <w:br/>
        <w:t>o</w:t>
        <w:br/>
        <w:t xml:space="preserve">. </w:t>
        <w:br/>
        <w:t>Amber Johnson</w:t>
        <w:br/>
        <w:t xml:space="preserve">s </w:t>
        <w:br/>
        <w:t xml:space="preserve">Collins LLC </w:t>
        <w:br/>
        <w:t xml:space="preserve">1981-08-28 </w:t>
        <w:br/>
        <w:t xml:space="preserve">period ended </w:t>
        <w:br/>
        <w:t xml:space="preserve">June 30, 1986-08-30 </w:t>
        <w:br/>
        <w:t xml:space="preserve">Fiscal </w:t>
        <w:br/>
        <w:t xml:space="preserve">2009-01-24 </w:t>
        <w:br/>
        <w:t xml:space="preserve">Fiscal </w:t>
        <w:br/>
        <w:t xml:space="preserve">1989-04-11 </w:t>
        <w:br/>
        <w:t xml:space="preserve">Fiscal </w:t>
        <w:br/>
        <w:t xml:space="preserve">2023 </w:t>
        <w:br/>
        <w:t>Amou</w:t>
        <w:br/>
        <w:t xml:space="preserve">nt (₹ </w:t>
        <w:br/>
        <w:t xml:space="preserve">in </w:t>
        <w:br/>
        <w:t>millio</w:t>
        <w:br/>
        <w:t xml:space="preserve">n) </w:t>
        <w:br/>
        <w:t xml:space="preserve">% of </w:t>
        <w:br/>
        <w:t xml:space="preserve">total </w:t>
        <w:br/>
        <w:t xml:space="preserve">cost of </w:t>
        <w:br/>
        <w:t xml:space="preserve">raw </w:t>
        <w:br/>
        <w:t>materi</w:t>
        <w:br/>
        <w:t xml:space="preserve">als and </w:t>
        <w:br/>
        <w:t>compo</w:t>
        <w:br/>
        <w:t xml:space="preserve">nents </w:t>
        <w:br/>
        <w:t>purchase</w:t>
        <w:br/>
        <w:t xml:space="preserve">d </w:t>
        <w:br/>
        <w:t xml:space="preserve">Thomas-Bush (₹ </w:t>
        <w:br/>
        <w:t xml:space="preserve">in </w:t>
        <w:br/>
        <w:t>millio</w:t>
        <w:br/>
        <w:t xml:space="preserve">n) </w:t>
        <w:br/>
        <w:t xml:space="preserve">% of total </w:t>
        <w:br/>
        <w:t xml:space="preserve">cost of </w:t>
        <w:br/>
        <w:t xml:space="preserve">raw </w:t>
        <w:br/>
        <w:t xml:space="preserve">materials </w:t>
        <w:br/>
        <w:t xml:space="preserve">and </w:t>
        <w:br/>
        <w:t>componen</w:t>
        <w:br/>
        <w:t xml:space="preserve">ts </w:t>
        <w:br/>
        <w:t>purchase</w:t>
        <w:br/>
        <w:t xml:space="preserve">d </w:t>
        <w:br/>
        <w:t xml:space="preserve">Garcia, Daniels and Dunn (₹ </w:t>
        <w:br/>
        <w:t xml:space="preserve">in </w:t>
        <w:br/>
        <w:t>millio</w:t>
        <w:br/>
        <w:t xml:space="preserve">n) </w:t>
        <w:br/>
        <w:t xml:space="preserve">% of total </w:t>
        <w:br/>
        <w:t xml:space="preserve">cost of </w:t>
        <w:br/>
        <w:t xml:space="preserve">raw </w:t>
        <w:br/>
        <w:t xml:space="preserve">materials </w:t>
        <w:br/>
        <w:t xml:space="preserve">and </w:t>
        <w:br/>
        <w:t>componen</w:t>
        <w:br/>
        <w:t xml:space="preserve">ts </w:t>
        <w:br/>
        <w:t>purchase</w:t>
        <w:br/>
        <w:t xml:space="preserve">d </w:t>
        <w:br/>
        <w:t xml:space="preserve">Mullen PLC (₹ </w:t>
        <w:br/>
        <w:t xml:space="preserve">in </w:t>
        <w:br/>
        <w:t>millio</w:t>
        <w:br/>
        <w:t xml:space="preserve">n) </w:t>
        <w:br/>
        <w:t xml:space="preserve">% of total </w:t>
        <w:br/>
        <w:t xml:space="preserve">cost of </w:t>
        <w:br/>
        <w:t xml:space="preserve">raw </w:t>
        <w:br/>
        <w:t xml:space="preserve">materials </w:t>
        <w:br/>
        <w:t xml:space="preserve">and </w:t>
        <w:br/>
        <w:t>componen</w:t>
        <w:br/>
        <w:t xml:space="preserve">ts </w:t>
        <w:br/>
        <w:t>purchase</w:t>
        <w:br/>
        <w:t xml:space="preserve">d </w:t>
        <w:br/>
        <w:t xml:space="preserve">1. </w:t>
        <w:br/>
        <w:t xml:space="preserve">Supplier </w:t>
        <w:br/>
        <w:t>2,119.6</w:t>
        <w:br/>
        <w:t xml:space="preserve">8 </w:t>
        <w:br/>
        <w:t xml:space="preserve">41.41% </w:t>
        <w:br/>
        <w:t xml:space="preserve">8615.79 </w:t>
        <w:br/>
        <w:t xml:space="preserve">48.07% </w:t>
        <w:br/>
        <w:t xml:space="preserve">8518.72 </w:t>
        <w:br/>
        <w:t xml:space="preserve">67.86% </w:t>
        <w:br/>
        <w:t>5845.1</w:t>
        <w:br/>
        <w:t xml:space="preserve">8 </w:t>
        <w:br/>
        <w:t xml:space="preserve">61.86% </w:t>
        <w:br/>
        <w:t xml:space="preserve">2. </w:t>
        <w:br/>
        <w:t xml:space="preserve">Supplier </w:t>
        <w:br/>
        <w:t>2,107.3</w:t>
        <w:br/>
        <w:t xml:space="preserve">1 </w:t>
        <w:br/>
        <w:t xml:space="preserve">41.17% </w:t>
        <w:br/>
        <w:t xml:space="preserve">6386.19 </w:t>
        <w:br/>
        <w:t xml:space="preserve">35.63% </w:t>
        <w:br/>
        <w:t xml:space="preserve">2415.14 </w:t>
        <w:br/>
        <w:t xml:space="preserve">19.24% </w:t>
        <w:br/>
        <w:t>2961.2</w:t>
        <w:br/>
        <w:t xml:space="preserve">2 </w:t>
        <w:br/>
        <w:t xml:space="preserve">31.34% </w:t>
        <w:br/>
        <w:t xml:space="preserve">3. </w:t>
        <w:br/>
        <w:t xml:space="preserve">Supplier </w:t>
        <w:br/>
        <w:t xml:space="preserve">507.57 </w:t>
        <w:br/>
        <w:t xml:space="preserve">9.92% </w:t>
        <w:br/>
        <w:t xml:space="preserve">1621.10 </w:t>
        <w:br/>
        <w:t xml:space="preserve">9.04% </w:t>
        <w:br/>
        <w:t xml:space="preserve">678.91 </w:t>
        <w:br/>
        <w:t xml:space="preserve">5.41% </w:t>
        <w:br/>
        <w:t xml:space="preserve">230.39 </w:t>
        <w:br/>
        <w:t xml:space="preserve">2.44% </w:t>
        <w:br/>
        <w:t xml:space="preserve">4. </w:t>
        <w:br/>
        <w:t xml:space="preserve">Supplier </w:t>
        <w:br/>
        <w:t xml:space="preserve">129.37 </w:t>
        <w:br/>
        <w:t xml:space="preserve">2.53% </w:t>
        <w:br/>
        <w:t xml:space="preserve">470.39 </w:t>
        <w:br/>
        <w:t xml:space="preserve">2.62% </w:t>
        <w:br/>
        <w:t xml:space="preserve">242.87 </w:t>
        <w:br/>
        <w:t xml:space="preserve">1.93% </w:t>
        <w:br/>
        <w:t xml:space="preserve">126.91 </w:t>
        <w:br/>
        <w:t xml:space="preserve">1.34% </w:t>
        <w:br/>
        <w:t xml:space="preserve">5. </w:t>
        <w:br/>
        <w:t xml:space="preserve">Supplier </w:t>
        <w:br/>
        <w:t xml:space="preserve">84.25 </w:t>
        <w:br/>
        <w:t xml:space="preserve">1.65% </w:t>
        <w:br/>
        <w:t xml:space="preserve">277.76 </w:t>
        <w:br/>
        <w:t xml:space="preserve">1.55% </w:t>
        <w:br/>
        <w:t xml:space="preserve">98.33 </w:t>
        <w:br/>
        <w:t xml:space="preserve">0.78% </w:t>
        <w:br/>
        <w:t xml:space="preserve">32.53 </w:t>
        <w:br/>
        <w:t xml:space="preserve">0.34% </w:t>
        <w:br/>
        <w:t xml:space="preserve">6. </w:t>
        <w:br/>
        <w:t xml:space="preserve">Supplier </w:t>
        <w:br/>
        <w:t xml:space="preserve">52.01 </w:t>
        <w:br/>
        <w:t xml:space="preserve">1.02% </w:t>
        <w:br/>
        <w:t xml:space="preserve">72.24 </w:t>
        <w:br/>
        <w:t xml:space="preserve">0.40% </w:t>
        <w:br/>
        <w:t xml:space="preserve">73.68 </w:t>
        <w:br/>
        <w:t xml:space="preserve">0.59% </w:t>
        <w:br/>
        <w:t xml:space="preserve">28.95 </w:t>
        <w:br/>
        <w:t xml:space="preserve">0.31% </w:t>
        <w:br/>
        <w:t xml:space="preserve">7. </w:t>
        <w:br/>
        <w:t xml:space="preserve">Supplier </w:t>
        <w:br/>
        <w:t xml:space="preserve">17.77 </w:t>
        <w:br/>
        <w:t xml:space="preserve">0.35% </w:t>
        <w:br/>
        <w:t xml:space="preserve">68.36 </w:t>
        <w:br/>
        <w:t xml:space="preserve">0.38% </w:t>
        <w:br/>
        <w:t xml:space="preserve">39.79 </w:t>
        <w:br/>
        <w:t xml:space="preserve">0.32% </w:t>
        <w:br/>
        <w:t xml:space="preserve">26.19 </w:t>
        <w:br/>
        <w:t xml:space="preserve">0.28% </w:t>
        <w:br/>
        <w:t xml:space="preserve">8. </w:t>
        <w:br/>
        <w:t xml:space="preserve">Supplier </w:t>
        <w:br/>
        <w:t xml:space="preserve">17.60 </w:t>
        <w:br/>
        <w:t xml:space="preserve">0.34% </w:t>
        <w:br/>
        <w:t xml:space="preserve">48.86 </w:t>
        <w:br/>
        <w:t xml:space="preserve">0.27% </w:t>
        <w:br/>
        <w:t xml:space="preserve">35.79 </w:t>
        <w:br/>
        <w:t xml:space="preserve">0.29% </w:t>
        <w:br/>
        <w:t xml:space="preserve">22.83 </w:t>
        <w:br/>
        <w:t xml:space="preserve">0.24% </w:t>
        <w:br/>
        <w:t xml:space="preserve">9. </w:t>
        <w:br/>
        <w:t xml:space="preserve">Supplier </w:t>
        <w:br/>
        <w:t xml:space="preserve">14.77 </w:t>
        <w:br/>
        <w:t xml:space="preserve">0.29% </w:t>
        <w:br/>
        <w:t xml:space="preserve">44.22 </w:t>
        <w:br/>
        <w:t xml:space="preserve">0.25% </w:t>
        <w:br/>
        <w:t xml:space="preserve">34.60 </w:t>
        <w:br/>
        <w:t xml:space="preserve">0.28% </w:t>
        <w:br/>
        <w:t xml:space="preserve">21.27 </w:t>
        <w:br/>
        <w:t xml:space="preserve">0.23% </w:t>
        <w:br/>
        <w:t xml:space="preserve">10 </w:t>
        <w:br/>
        <w:t xml:space="preserve">Supplier </w:t>
        <w:br/>
        <w:t xml:space="preserve">11.99 </w:t>
        <w:br/>
        <w:t xml:space="preserve">0.23% </w:t>
        <w:br/>
        <w:t xml:space="preserve">42.00 </w:t>
        <w:br/>
        <w:t xml:space="preserve">0.23% </w:t>
        <w:br/>
        <w:t xml:space="preserve">29.86 </w:t>
        <w:br/>
        <w:t xml:space="preserve">0.24% </w:t>
        <w:br/>
        <w:t xml:space="preserve">19.83 </w:t>
        <w:br/>
        <w:t xml:space="preserve">0.21% </w:t>
        <w:br/>
        <w:t xml:space="preserve"> </w:t>
        <w:br/>
        <w:t>5,062.3</w:t>
        <w:br/>
        <w:t xml:space="preserve">2 </w:t>
        <w:br/>
        <w:t xml:space="preserve">98.91% </w:t>
        <w:br/>
        <w:t>17646.9</w:t>
        <w:br/>
        <w:t xml:space="preserve">2 </w:t>
        <w:br/>
        <w:t xml:space="preserve">98.45% </w:t>
        <w:br/>
        <w:t>12167.6</w:t>
        <w:br/>
        <w:t xml:space="preserve">9 </w:t>
        <w:br/>
        <w:t xml:space="preserve">96.93% </w:t>
        <w:br/>
        <w:t>9315.3</w:t>
        <w:br/>
        <w:t xml:space="preserve">0 </w:t>
        <w:br/>
        <w:t xml:space="preserve">98.58% </w:t>
        <w:br/>
        <w:t xml:space="preserve">We are dependent on suppliers to procure our raw materials. We had a network of 9, 1977-10-15, 1988-08-15 and 11 suppliers of copper </w:t>
        <w:br/>
        <w:t xml:space="preserve">and aluminium (which are our primary raw materials) and enamel and paper (which are our insulating materials) in the </w:t>
        <w:br/>
        <w:t xml:space="preserve">1980-09-19 period ended 1980-02-29, and Fiscals 2025, 1988-07-21 and 1978-01-03, respectively. Set out below are details of </w:t>
        <w:br/>
        <w:t xml:space="preserve">our expenses towards our top 10 suppliers for 2015-09-02 indicated: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r>
    </w:p>
    <w:p>
      <w:r>
        <w:br w:type="page"/>
      </w:r>
    </w:p>
    <w:p>
      <w:r>
        <w:t xml:space="preserve">2002-05-07 </w:t>
        <w:br/>
        <w:t xml:space="preserve"> </w:t>
        <w:br/>
        <w:t xml:space="preserve"> </w:t>
        <w:br/>
        <w:t xml:space="preserve"> </w:t>
        <w:br/>
        <w:t xml:space="preserve"> </w:t>
        <w:br/>
        <w:t xml:space="preserve"> </w:t>
        <w:br/>
        <w:t xml:space="preserve">. </w:t>
        <w:br/>
        <w:t xml:space="preserve"> </w:t>
        <w:br/>
        <w:t xml:space="preserve">*These suppliers represent the top 10 suppliers for each of the respective period/ Jody Johnson and may not necessarily be the same suppliers across the </w:t>
        <w:br/>
        <w:t xml:space="preserve">period/ Mary Mccormick. </w:t>
        <w:br/>
        <w:t xml:space="preserve">Note: Our top 10 suppliers include Durham-Myers; Callahan PLC; Miranda, Ruiz and Meza; Mcdonald, Bryant and Cohen; Bradley-Davis; Lamb, Miller and Livingston; Cook-Gonzalez; and Huff, Lyons and Jensen. Names of other suppliers have </w:t>
        <w:br/>
        <w:t xml:space="preserve">not been included in this Red Herring Prospectus due to non-receipt of consent from such suppliers to be named in Bush PLC. </w:t>
        <w:br/>
        <w:t xml:space="preserve"> </w:t>
        <w:br/>
        <w:t xml:space="preserve">We purchase our raw materials from third-party suppliers on the basis of purchase orders and do not typically enter </w:t>
        <w:br/>
        <w:t xml:space="preserve">into any long-term agreements. We procure our main raw material i.e. copper in back-to-back arrangement with </w:t>
        <w:br/>
        <w:t xml:space="preserve">suppliers against confirmed bookings, i.e., the customer prices the copper with our Company and our Company does </w:t>
        <w:br/>
        <w:t xml:space="preserve">the same with its suppliers. While we procure raw materials from our suppliers once they confirm the receipt of our </w:t>
        <w:br/>
        <w:t xml:space="preserve">purchase orders, in the absence of long-term contracts, our suppliers may not be obligated to supply their products to </w:t>
        <w:br/>
        <w:t xml:space="preserve">us and/or may choose to sell their products to our competitors. While we have a large network of long-term suppliers, </w:t>
        <w:br/>
        <w:t xml:space="preserve">we purchase copper and aluminium, which are our primary raw materials (and copper also being our principal raw </w:t>
        <w:br/>
        <w:t xml:space="preserve">material), from a limited number of suppliers. While there have been no instances of termination of our relationship </w:t>
        <w:br/>
        <w:t xml:space="preserve">with our suppliers which had impacted our supply in the 1996-09-02 period ended 1999-01-08, and the Fiscals 2025, </w:t>
        <w:br/>
        <w:t xml:space="preserve">1975-11-11 and 1973-08-30, there can be no assurance that a particular supplier will continue to supply us with raw materials in the </w:t>
        <w:br/>
        <w:t xml:space="preserve">future. Further, we cannot assure that we will be able to enter into new or renew our existing arrangements with </w:t>
        <w:br/>
        <w:t xml:space="preserve">suppliers on terms acceptable to us, which could have an adverse effect on our ability to source materials in a </w:t>
        <w:br/>
        <w:t xml:space="preserve">commercially viable and timely manner, if at all, which may impact our business and profitability. </w:t>
        <w:br/>
        <w:t xml:space="preserve">We conduct quality checks before onboarding suppliers for certain of our raw materials including metal and paper. </w:t>
        <w:br/>
        <w:t xml:space="preserve">Further, there are a limited number of qualified suppliers of insulating materials such as enamel and paper due to </w:t>
        <w:br/>
        <w:t xml:space="preserve">criticality to maintain process composition, which further restricts the number of suppliers we can source such materials </w:t>
        <w:br/>
        <w:t xml:space="preserve">from. Due to limitations in the availability of suppliers, we are also susceptible to the pricing-power risk of our suppliers </w:t>
        <w:br/>
        <w:t xml:space="preserve">controlling the pricing of our raw materials. While we do not rely on any single supplier for the other raw materials </w:t>
        <w:br/>
        <w:t xml:space="preserve">and components required for our operations, if any of our suppliers does not supply raw materials on a timely basis or </w:t>
        <w:br/>
        <w:t xml:space="preserve">at reasonable prices, we may be unable to manufacture products for our customers or may be unable to ensure the </w:t>
        <w:br/>
        <w:t xml:space="preserve">timely delivery of the same. Any discontinuation of production by these suppliers or a failure of these suppliers to </w:t>
        <w:br/>
        <w:t xml:space="preserve">adhere to the delivery schedule or the required quality and quantity could hamper our manufacturing schedule and lead </w:t>
        <w:br/>
        <w:t xml:space="preserve">to the under-utilization of our manufacturing facilities. Our operations may also be impacted due to </w:t>
        <w:br/>
      </w:r>
    </w:p>
    <w:p>
      <w:r>
        <w:br w:type="page"/>
      </w:r>
    </w:p>
    <w:p>
      <w:r>
        <w:t xml:space="preserve">54 </w:t>
        <w:br/>
        <w:t xml:space="preserve"> </w:t>
        <w:br/>
        <w:t xml:space="preserve">instances such as disputes with suppliers, our inability to make timely payments to the suppliers, changes in </w:t>
        <w:br/>
        <w:t xml:space="preserve">governmental or regulatory policies, including sanctions/ tariffs that may be imposed on certain suppliers, or any other </w:t>
        <w:br/>
        <w:t xml:space="preserve">circumstances specific to our suppliers, such as acquisition or consolidation of such supplier, or any other adverse </w:t>
        <w:br/>
        <w:t xml:space="preserve">market conditions affecting the industry in which our supplier operates or the economic environment generally. If we </w:t>
        <w:br/>
        <w:t xml:space="preserve">were to experience a significant or prolonged shortage of raw materials from any of our suppliers and cannot procure </w:t>
        <w:br/>
        <w:t xml:space="preserve">those raw materials from other sources, we may be unable to meet our production schedules for our products and </w:t>
        <w:br/>
        <w:t xml:space="preserve">provide such products to our customers in a timely fashion, which may adversely affect our customer relations and </w:t>
        <w:br/>
        <w:t xml:space="preserve">reputation. Further, we cannot assure that our suppliers will continue to be associated with us on reasonable terms, or </w:t>
        <w:br/>
        <w:t xml:space="preserve">at all. We may also be required to replace a supplier if its products or services do not meet our safety, quality or </w:t>
        <w:br/>
        <w:t xml:space="preserve">performance standards or if a supplier unexpectedly suspends or discontinues operations due to reasons beyond its or </w:t>
        <w:br/>
        <w:t xml:space="preserve">our control, including strikes, natural calamities or financing constraints caused by credit market conditions. While we </w:t>
        <w:br/>
        <w:t xml:space="preserve">have not faced any instances of disruption in raw materials that led to any material adverse impact on our business and </w:t>
        <w:br/>
        <w:t xml:space="preserve">operations in the 1996-02-13 period ended 2002-10-29, and Fiscals 2025, 1980-10-27 and 2007-04-16, there can be no assurance </w:t>
        <w:br/>
        <w:t xml:space="preserve">that these instances will not occur in the future. </w:t>
        <w:br/>
        <w:t xml:space="preserve">3. </w:t>
        <w:br/>
        <w:t xml:space="preserve">Any shortfall in the supply or availability of raw materials including aluminium or copper, which are our primary </w:t>
        <w:br/>
        <w:t xml:space="preserve">raw materials (and copper also being our principal raw material), or insulating materials, such as enamel and </w:t>
        <w:br/>
        <w:t xml:space="preserve">paper, or an increase in our such material costs, or other input costs, may adversely affect the pricing and supply </w:t>
        <w:br/>
        <w:t xml:space="preserve">of our products and have an adverse effect on our business, results of operations and financial condition. </w:t>
        <w:br/>
        <w:t xml:space="preserve">Our business depends significantly on price and availability of raw materials including the consistent supply of primary </w:t>
        <w:br/>
        <w:t xml:space="preserve">raw materials (i.e. copper, and aluminium, and copper also being our principal raw material), and insulating materials </w:t>
        <w:br/>
        <w:t xml:space="preserve">such as enamel and paper, which are essential components in manufacturing our products. Our primary raw materials </w:t>
        <w:br/>
        <w:t xml:space="preserve">are copper, and aluminium (copper also being our principal raw material), and our manufacturing processes require </w:t>
        <w:br/>
        <w:t xml:space="preserve">certain other raw materials such as enamel, insulating materials and packaging materials which constitute a significant </w:t>
        <w:br/>
        <w:t xml:space="preserve">portion of our total expenses. The following table sets forth the details of our total cost of raw materials consumed as </w:t>
        <w:br/>
        <w:t xml:space="preserve">a percentage of our total expenses for the period/ Jason Oliver indicated: </w:t>
        <w:br/>
        <w:t xml:space="preserve"> </w:t>
        <w:br/>
        <w:t xml:space="preserve">Particulars </w:t>
        <w:br/>
        <w:t xml:space="preserve">2001-05-15 </w:t>
        <w:br/>
        <w:t xml:space="preserve">period ended </w:t>
        <w:br/>
        <w:t xml:space="preserve">June 30, 2006-04-03 </w:t>
        <w:br/>
        <w:t xml:space="preserve">Fiscal </w:t>
        <w:br/>
        <w:t xml:space="preserve">1990-07-24 </w:t>
        <w:br/>
        <w:t xml:space="preserve">Fiscal </w:t>
        <w:br/>
        <w:t xml:space="preserve">2023-12-04 </w:t>
        <w:br/>
        <w:t>Fiscal</w:t>
        <w:br/>
        <w:t>2023</w:t>
        <w:br/>
        <w:t xml:space="preserve">Cost of raw materials and components consumed (₹ in </w:t>
        <w:br/>
        <w:t xml:space="preserve">million) </w:t>
        <w:br/>
        <w:t xml:space="preserve">5,094.36 </w:t>
        <w:br/>
        <w:t xml:space="preserve">17,418.18 </w:t>
        <w:br/>
        <w:t xml:space="preserve">12,514.10 </w:t>
        <w:br/>
        <w:t>9,449.56</w:t>
        <w:br/>
        <w:t xml:space="preserve">Cost of materials and components consumed as a </w:t>
        <w:br/>
        <w:t xml:space="preserve">percentage of our total expenses (%) </w:t>
        <w:br/>
        <w:t xml:space="preserve">96.29% </w:t>
        <w:br/>
        <w:t xml:space="preserve">94.27% </w:t>
        <w:br/>
        <w:t xml:space="preserve">93.40% </w:t>
        <w:br/>
        <w:t>92.54%</w:t>
        <w:br/>
        <w:t xml:space="preserve"> </w:t>
        <w:br/>
        <w:t xml:space="preserve"> </w:t>
        <w:br/>
        <w:t xml:space="preserve">While we have not experienced any disruption in 1974-10-29 period ended 2014-03-13, and Fiscals 2025, 2007-11-06 and </w:t>
        <w:br/>
        <w:t xml:space="preserve">1992-03-05, in case of increase in raw material prices, there can be no assurance that we will be able to pass such cost </w:t>
        <w:br/>
        <w:t xml:space="preserve">increases to our customers. Any increase in the cost of inputs to our production could lead to higher costs for our </w:t>
        <w:br/>
        <w:t xml:space="preserve">products. The prices of our primary raw materials, copper and aluminium (copper also being our principal raw </w:t>
        <w:br/>
        <w:t xml:space="preserve">material), are derived from prices of such metals on Garcia, Roth and Robles, which is passed on to our customers on </w:t>
        <w:br/>
        <w:t xml:space="preserve">the date of placing their orders with us. If we increase the prices of our products to offset the impact of higher costs of </w:t>
        <w:br/>
        <w:t xml:space="preserve">raw materials, this may cause certain of our customers to cancel orders or refrain from purchasing our products, which </w:t>
        <w:br/>
        <w:t xml:space="preserve">may materially and adversely reduce the demand for our products, and thus, negatively impact our operating results. </w:t>
        <w:br/>
        <w:t xml:space="preserve">Set out below are details of the contribution of our primary raw materials (i.e. copper and aluminium, copper also </w:t>
        <w:br/>
        <w:t xml:space="preserve">being our principal raw material) and other raw materials (i.e. insulating, consumables and packaging materials) </w:t>
        <w:br/>
        <w:t xml:space="preserve">towards our total cost of raw materials consumed for the period/ Gregory Andrews indicated: </w:t>
        <w:br/>
        <w:t xml:space="preserve"> </w:t>
        <w:br/>
        <w:t xml:space="preserve"> </w:t>
        <w:br/>
        <w:t xml:space="preserve">Particulars </w:t>
        <w:br/>
        <w:t>1981-08-16</w:t>
        <w:br/>
        <w:t xml:space="preserve"> </w:t>
        <w:br/>
        <w:t>pe</w:t>
        <w:br/>
        <w:t xml:space="preserve">riod ended 2001-05-22, </w:t>
        <w:br/>
        <w:t xml:space="preserve">2002-07-28 </w:t>
        <w:br/>
        <w:t xml:space="preserve">Fiscal </w:t>
        <w:br/>
        <w:t xml:space="preserve">1993-12-01 </w:t>
        <w:br/>
        <w:t xml:space="preserve">Fiscal </w:t>
        <w:br/>
        <w:t xml:space="preserve">1977-09-06 </w:t>
        <w:br/>
        <w:t xml:space="preserve">Fiscal </w:t>
        <w:br/>
        <w:t xml:space="preserve">2023 </w:t>
        <w:br/>
        <w:t xml:space="preserve">Amount </w:t>
        <w:br/>
        <w:t xml:space="preserve">(₹ </w:t>
        <w:br/>
        <w:t xml:space="preserve">in </w:t>
        <w:br/>
        <w:t xml:space="preserve">million) </w:t>
        <w:br/>
        <w:t xml:space="preserve">% of </w:t>
        <w:br/>
        <w:t xml:space="preserve">total </w:t>
        <w:br/>
        <w:t>expens</w:t>
        <w:br/>
        <w:t xml:space="preserve">es </w:t>
        <w:br/>
        <w:t xml:space="preserve">Amount </w:t>
        <w:br/>
        <w:t xml:space="preserve">(₹ </w:t>
        <w:br/>
        <w:t xml:space="preserve">in </w:t>
        <w:br/>
        <w:t xml:space="preserve">million) </w:t>
        <w:br/>
        <w:t xml:space="preserve">% of </w:t>
        <w:br/>
        <w:t xml:space="preserve">total </w:t>
        <w:br/>
        <w:t>expens</w:t>
        <w:br/>
        <w:t xml:space="preserve">es </w:t>
        <w:br/>
        <w:t xml:space="preserve">Amount </w:t>
        <w:br/>
        <w:t xml:space="preserve">(₹ </w:t>
        <w:br/>
        <w:t xml:space="preserve">in </w:t>
        <w:br/>
        <w:t xml:space="preserve">million) </w:t>
        <w:br/>
        <w:t xml:space="preserve">% of </w:t>
        <w:br/>
        <w:t xml:space="preserve">total </w:t>
        <w:br/>
        <w:t>expens</w:t>
        <w:br/>
        <w:t xml:space="preserve">es </w:t>
        <w:br/>
        <w:t xml:space="preserve">Amount </w:t>
        <w:br/>
        <w:t xml:space="preserve">(₹ </w:t>
        <w:br/>
        <w:t xml:space="preserve">in </w:t>
        <w:br/>
        <w:t xml:space="preserve">million) </w:t>
        <w:br/>
        <w:t xml:space="preserve">% of </w:t>
        <w:br/>
        <w:t xml:space="preserve">total </w:t>
        <w:br/>
        <w:t>expens</w:t>
        <w:br/>
        <w:t xml:space="preserve">es </w:t>
        <w:br/>
      </w:r>
    </w:p>
    <w:p>
      <w:r>
        <w:br w:type="page"/>
      </w:r>
    </w:p>
    <w:p>
      <w:r>
        <w:t xml:space="preserve">55 </w:t>
        <w:br/>
        <w:t xml:space="preserve"> </w:t>
        <w:br/>
        <w:t xml:space="preserve">Cost </w:t>
        <w:br/>
        <w:t xml:space="preserve">of </w:t>
        <w:br/>
        <w:t xml:space="preserve">primary raw </w:t>
        <w:br/>
        <w:t xml:space="preserve">materials </w:t>
        <w:br/>
        <w:t xml:space="preserve">consumed </w:t>
        <w:br/>
        <w:t xml:space="preserve">(copper and </w:t>
        <w:br/>
        <w:t xml:space="preserve">aluminium) </w:t>
        <w:br/>
        <w:t xml:space="preserve">(A) </w:t>
        <w:br/>
        <w:t xml:space="preserve">4,891.18 </w:t>
        <w:br/>
        <w:t xml:space="preserve">96.01% </w:t>
        <w:br/>
        <w:t xml:space="preserve">16,669.95 </w:t>
        <w:br/>
        <w:t xml:space="preserve">95.70% </w:t>
        <w:br/>
        <w:t xml:space="preserve">11,885.25 </w:t>
        <w:br/>
        <w:t xml:space="preserve">94.97% </w:t>
        <w:br/>
        <w:t xml:space="preserve">8,957.00 </w:t>
        <w:br/>
        <w:t xml:space="preserve">94.79% </w:t>
        <w:br/>
        <w:t xml:space="preserve">Cost </w:t>
        <w:br/>
        <w:t xml:space="preserve">of </w:t>
        <w:br/>
        <w:t xml:space="preserve">other </w:t>
        <w:br/>
        <w:t xml:space="preserve">raw </w:t>
        <w:br/>
        <w:t xml:space="preserve">materials </w:t>
        <w:br/>
        <w:t xml:space="preserve">and </w:t>
        <w:br/>
        <w:t>componen</w:t>
        <w:br/>
        <w:t xml:space="preserve">ts </w:t>
        <w:br/>
        <w:t xml:space="preserve">consumed </w:t>
        <w:br/>
        <w:t xml:space="preserve">(B) </w:t>
        <w:br/>
        <w:t xml:space="preserve">203.18 </w:t>
        <w:br/>
        <w:t xml:space="preserve">3.99% </w:t>
        <w:br/>
        <w:t xml:space="preserve">748.23 </w:t>
        <w:br/>
        <w:t xml:space="preserve">4.30% </w:t>
        <w:br/>
        <w:t xml:space="preserve">628.85 </w:t>
        <w:br/>
        <w:t xml:space="preserve">5.03% </w:t>
        <w:br/>
        <w:t xml:space="preserve">492.56 </w:t>
        <w:br/>
        <w:t xml:space="preserve">5.21% </w:t>
        <w:br/>
        <w:t xml:space="preserve">Total cost </w:t>
        <w:br/>
        <w:t xml:space="preserve">of raw </w:t>
        <w:br/>
        <w:t xml:space="preserve">materials </w:t>
        <w:br/>
        <w:t xml:space="preserve">and </w:t>
        <w:br/>
        <w:t xml:space="preserve">5,094.36 </w:t>
        <w:br/>
        <w:t xml:space="preserve">100.00% </w:t>
        <w:br/>
        <w:t xml:space="preserve">17,418.18 </w:t>
        <w:br/>
        <w:t xml:space="preserve">100.00% </w:t>
        <w:br/>
        <w:t xml:space="preserve">12,514.10 </w:t>
        <w:br/>
        <w:t xml:space="preserve">100.00% </w:t>
        <w:br/>
        <w:t xml:space="preserve">9,449.56 </w:t>
        <w:br/>
        <w:t xml:space="preserve">100.00% </w:t>
        <w:br/>
        <w:t xml:space="preserve"> </w:t>
        <w:br/>
      </w:r>
    </w:p>
    <w:p>
      <w:r>
        <w:br w:type="page"/>
      </w:r>
    </w:p>
    <w:p>
      <w:r>
        <w:t xml:space="preserve">56 </w:t>
        <w:br/>
        <w:t xml:space="preserve"> </w:t>
        <w:br/>
        <w:t xml:space="preserve"> </w:t>
        <w:br/>
        <w:t xml:space="preserve">Particulars </w:t>
        <w:br/>
        <w:t>2025-10-21</w:t>
        <w:br/>
        <w:t xml:space="preserve"> </w:t>
        <w:br/>
        <w:t>pe</w:t>
        <w:br/>
        <w:t xml:space="preserve">riod ended 2007-07-27, </w:t>
        <w:br/>
        <w:t xml:space="preserve">1998-11-11 </w:t>
        <w:br/>
        <w:t xml:space="preserve">Fiscal </w:t>
        <w:br/>
        <w:t xml:space="preserve">2004-08-31 </w:t>
        <w:br/>
        <w:t xml:space="preserve">Fiscal </w:t>
        <w:br/>
        <w:t xml:space="preserve">2000-12-03 </w:t>
        <w:br/>
        <w:t xml:space="preserve">Fiscal </w:t>
        <w:br/>
        <w:t xml:space="preserve">2023 </w:t>
        <w:br/>
        <w:t xml:space="preserve">Amount </w:t>
        <w:br/>
        <w:t xml:space="preserve">(₹ </w:t>
        <w:br/>
        <w:t xml:space="preserve">in </w:t>
        <w:br/>
        <w:t xml:space="preserve">million) </w:t>
        <w:br/>
        <w:t xml:space="preserve">% of </w:t>
        <w:br/>
        <w:t xml:space="preserve">total </w:t>
        <w:br/>
        <w:t>expens</w:t>
        <w:br/>
        <w:t xml:space="preserve">es </w:t>
        <w:br/>
        <w:t xml:space="preserve">Amount </w:t>
        <w:br/>
        <w:t xml:space="preserve">(₹ </w:t>
        <w:br/>
        <w:t xml:space="preserve">in </w:t>
        <w:br/>
        <w:t xml:space="preserve">million) </w:t>
        <w:br/>
        <w:t xml:space="preserve">% of </w:t>
        <w:br/>
        <w:t xml:space="preserve">total </w:t>
        <w:br/>
        <w:t>expens</w:t>
        <w:br/>
        <w:t xml:space="preserve">es </w:t>
        <w:br/>
        <w:t xml:space="preserve">Amount </w:t>
        <w:br/>
        <w:t xml:space="preserve">(₹ </w:t>
        <w:br/>
        <w:t xml:space="preserve">in </w:t>
        <w:br/>
        <w:t xml:space="preserve">million) </w:t>
        <w:br/>
        <w:t xml:space="preserve">% of </w:t>
        <w:br/>
        <w:t xml:space="preserve">total </w:t>
        <w:br/>
        <w:t>expens</w:t>
        <w:br/>
        <w:t xml:space="preserve">es </w:t>
        <w:br/>
        <w:t xml:space="preserve">Amount </w:t>
        <w:br/>
        <w:t xml:space="preserve">(₹ </w:t>
        <w:br/>
        <w:t xml:space="preserve">in </w:t>
        <w:br/>
        <w:t xml:space="preserve">million) </w:t>
        <w:br/>
        <w:t xml:space="preserve">% of </w:t>
        <w:br/>
        <w:t xml:space="preserve">total </w:t>
        <w:br/>
        <w:t>expens</w:t>
        <w:br/>
        <w:t xml:space="preserve">es </w:t>
        <w:br/>
        <w:t xml:space="preserve">components </w:t>
        <w:br/>
        <w:t xml:space="preserve">consumed </w:t>
        <w:br/>
        <w:t xml:space="preserve">(A+B)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In addition to supply challenges, the cost of raw materials is subject to market fluctuations driven by inflation, foreign </w:t>
        <w:br/>
        <w:t xml:space="preserve">exchange rate volatility, and changes in government policies, such as tariffs and environmental regulations. The table </w:t>
        <w:br/>
        <w:t xml:space="preserve">below sets forth details of the suppliers from within and outside 10276 Christopher Row, Daltonchester, RI 24067 and percentage of total expenses towards such </w:t>
        <w:br/>
        <w:t xml:space="preserve">suppliers in the period/ Brittany Bright indicated: </w:t>
        <w:br/>
        <w:t xml:space="preserve"> </w:t>
        <w:br/>
        <w:t>Particular</w:t>
        <w:br/>
        <w:t xml:space="preserve">s </w:t>
        <w:br/>
        <w:t xml:space="preserve">1994-07-09 </w:t>
        <w:br/>
        <w:t xml:space="preserve">period </w:t>
        <w:br/>
        <w:t xml:space="preserve">ended 1996-03-04, 2007-10-19 </w:t>
        <w:br/>
        <w:t>Fiscal 202</w:t>
        <w:br/>
        <w:t xml:space="preserve"> </w:t>
        <w:br/>
        <w:t xml:space="preserve">Amount </w:t>
        <w:br/>
        <w:t xml:space="preserve">(Wells and Sons in million) </w:t>
        <w:br/>
        <w:t xml:space="preserve">% </w:t>
        <w:br/>
        <w:t xml:space="preserve">of </w:t>
        <w:br/>
        <w:t>ex</w:t>
        <w:br/>
        <w:t>p</w:t>
        <w:br/>
        <w:t>e</w:t>
        <w:br/>
        <w:t>ns</w:t>
        <w:br/>
        <w:t xml:space="preserve">es </w:t>
        <w:br/>
        <w:t xml:space="preserve">Amount </w:t>
        <w:br/>
        <w:t xml:space="preserve">(Graham-Clark in </w:t>
        <w:br/>
        <w:t xml:space="preserve">million) </w:t>
        <w:br/>
        <w:t xml:space="preserve">% </w:t>
        <w:br/>
        <w:t xml:space="preserve">of </w:t>
        <w:br/>
        <w:t>exp</w:t>
        <w:br/>
        <w:t>ens</w:t>
        <w:br/>
        <w:t xml:space="preserve">es </w:t>
        <w:br/>
        <w:t xml:space="preserve">Amount </w:t>
        <w:br/>
        <w:t xml:space="preserve">(Long, Flores and Reyes in million) </w:t>
        <w:br/>
        <w:t xml:space="preserve">% </w:t>
        <w:br/>
        <w:t xml:space="preserve">of </w:t>
        <w:br/>
        <w:t>exp</w:t>
        <w:br/>
        <w:t>ens</w:t>
        <w:br/>
        <w:t xml:space="preserve">es </w:t>
        <w:br/>
        <w:t xml:space="preserve">Amount </w:t>
        <w:br/>
        <w:t xml:space="preserve">(Young Ltd in </w:t>
        <w:br/>
        <w:t xml:space="preserve">million) </w:t>
        <w:br/>
        <w:t xml:space="preserve">% </w:t>
        <w:br/>
        <w:t xml:space="preserve">of </w:t>
        <w:br/>
        <w:t>exp</w:t>
        <w:br/>
        <w:t>ens</w:t>
        <w:br/>
        <w:t xml:space="preserve">es </w:t>
        <w:br/>
        <w:t>Do</w:t>
        <w:br/>
        <w:t>mest</w:t>
        <w:br/>
        <w:t xml:space="preserve">ic </w:t>
        <w:br/>
        <w:t>Hoover, Howard and Callahan</w:t>
        <w:br/>
        <w:t xml:space="preserve">liers </w:t>
        <w:br/>
        <w:t xml:space="preserve">2,800.29 </w:t>
        <w:br/>
        <w:t xml:space="preserve">54.97% </w:t>
        <w:br/>
        <w:t xml:space="preserve">10,671.66 </w:t>
        <w:br/>
        <w:t xml:space="preserve">61.27% </w:t>
        <w:br/>
        <w:t xml:space="preserve">9,837.40 </w:t>
        <w:br/>
        <w:t xml:space="preserve">78.61% </w:t>
        <w:br/>
        <w:t xml:space="preserve">6,472.40 </w:t>
        <w:br/>
        <w:t>68.49%</w:t>
        <w:br/>
        <w:t>Sup</w:t>
        <w:br/>
        <w:t>plier</w:t>
        <w:br/>
        <w:t xml:space="preserve">s </w:t>
        <w:br/>
        <w:t xml:space="preserve">from </w:t>
        <w:br/>
        <w:t>outsi</w:t>
        <w:br/>
        <w:t xml:space="preserve">de </w:t>
        <w:br/>
        <w:t xml:space="preserve">9465 Brandi Ridge Suite 240, Rachelton, AL 92691 </w:t>
        <w:br/>
        <w:t xml:space="preserve">2,294.06 </w:t>
        <w:br/>
        <w:t xml:space="preserve">45.03% </w:t>
        <w:br/>
        <w:t xml:space="preserve">6,746.51 </w:t>
        <w:br/>
        <w:t xml:space="preserve">38.73% </w:t>
        <w:br/>
        <w:t xml:space="preserve">2,676.70 </w:t>
        <w:br/>
        <w:t xml:space="preserve">21.39% </w:t>
        <w:br/>
        <w:t xml:space="preserve">2,977.16 </w:t>
        <w:br/>
        <w:t>31.51%</w:t>
        <w:br/>
        <w:t xml:space="preserve">Total </w:t>
        <w:br/>
        <w:t xml:space="preserve">5,094.36 </w:t>
        <w:br/>
        <w:t xml:space="preserve">100.00% </w:t>
        <w:br/>
        <w:t>17,418.1</w:t>
        <w:br/>
        <w:t xml:space="preserve">8 </w:t>
        <w:br/>
        <w:t xml:space="preserve">100.00% </w:t>
        <w:br/>
        <w:t xml:space="preserve">12,514.10 </w:t>
        <w:br/>
        <w:t xml:space="preserve">100.00% </w:t>
        <w:br/>
        <w:t xml:space="preserve">9,449.56 </w:t>
        <w:br/>
        <w:t>100.00%</w:t>
        <w:br/>
        <w:t xml:space="preserve"> </w:t>
        <w:br/>
        <w:t xml:space="preserve"> </w:t>
        <w:br/>
        <w:t xml:space="preserve">Set out below is the contribution of our suppliers from 7013 Paige Throughway Apt. 227, Petershire, NV 26147 and in 321 Wilson Ranch Suite 581, Thompsonfurt, CA 78916 for the 1999-08-17 period ended 2023-05-17, </w:t>
        <w:br/>
        <w:t xml:space="preserve">1999-05-05, and Fiscals 2025, 2010-03-20, and 2023: </w:t>
        <w:br/>
        <w:t xml:space="preserve"> </w:t>
        <w:br/>
        <w:t>Particula</w:t>
        <w:br/>
        <w:t xml:space="preserve">rs </w:t>
        <w:br/>
        <w:t xml:space="preserve">2017-03-25 </w:t>
        <w:br/>
        <w:t xml:space="preserve">period </w:t>
        <w:br/>
        <w:t xml:space="preserve">ended </w:t>
        <w:br/>
        <w:t xml:space="preserve">2025-05-21, </w:t>
        <w:br/>
        <w:t xml:space="preserve">1984-03-03 </w:t>
        <w:br/>
        <w:t xml:space="preserve">Fiscal </w:t>
        <w:br/>
        <w:t xml:space="preserve">1993-03-09 </w:t>
        <w:br/>
        <w:t xml:space="preserve">Fiscal </w:t>
        <w:br/>
        <w:t xml:space="preserve">1974-06-30 </w:t>
        <w:br/>
        <w:t xml:space="preserve">Fiscal </w:t>
        <w:br/>
        <w:t xml:space="preserve">2023 </w:t>
        <w:br/>
      </w:r>
    </w:p>
    <w:p>
      <w:r>
        <w:br w:type="page"/>
      </w:r>
    </w:p>
    <w:p>
      <w:r>
        <w:t xml:space="preserve">57 </w:t>
        <w:br/>
        <w:t xml:space="preserve"> </w:t>
        <w:br/>
        <w:t>A</w:t>
        <w:br/>
        <w:t>mo</w:t>
        <w:br/>
        <w:t xml:space="preserve">unt </w:t>
        <w:br/>
        <w:t xml:space="preserve">(₹ </w:t>
        <w:br/>
        <w:t xml:space="preserve">in </w:t>
        <w:br/>
        <w:t>mil</w:t>
        <w:br/>
        <w:t xml:space="preserve">Smith-Rodriguez) </w:t>
        <w:br/>
        <w:t xml:space="preserve">% of </w:t>
        <w:br/>
        <w:t xml:space="preserve">total cost </w:t>
        <w:br/>
        <w:t xml:space="preserve">of raw </w:t>
        <w:br/>
        <w:t xml:space="preserve">materials </w:t>
        <w:br/>
        <w:t xml:space="preserve">and </w:t>
        <w:br/>
        <w:t>compone</w:t>
        <w:br/>
        <w:t xml:space="preserve">nts </w:t>
        <w:br/>
        <w:t>purchase</w:t>
        <w:br/>
        <w:t xml:space="preserve">d </w:t>
        <w:br/>
        <w:t>Amo</w:t>
        <w:br/>
        <w:t xml:space="preserve">unt </w:t>
        <w:br/>
        <w:t xml:space="preserve">(Anderson-Campbell in </w:t>
        <w:br/>
        <w:t>millio</w:t>
        <w:br/>
        <w:t xml:space="preserve">n) </w:t>
        <w:br/>
        <w:t xml:space="preserve">% of total </w:t>
        <w:br/>
        <w:t xml:space="preserve">cost of raw </w:t>
        <w:br/>
        <w:t xml:space="preserve">materials </w:t>
        <w:br/>
        <w:t xml:space="preserve">and </w:t>
        <w:br/>
        <w:t xml:space="preserve">components </w:t>
        <w:br/>
        <w:t xml:space="preserve">purchased </w:t>
        <w:br/>
        <w:t xml:space="preserve">York LLC (₹ </w:t>
        <w:br/>
        <w:t xml:space="preserve">in </w:t>
        <w:br/>
        <w:t>millio</w:t>
        <w:br/>
        <w:t xml:space="preserve">n) </w:t>
        <w:br/>
        <w:t xml:space="preserve">% of total </w:t>
        <w:br/>
        <w:t xml:space="preserve">cost of raw </w:t>
        <w:br/>
        <w:t xml:space="preserve">materials </w:t>
        <w:br/>
        <w:t xml:space="preserve">and </w:t>
        <w:br/>
        <w:t xml:space="preserve">components </w:t>
        <w:br/>
        <w:t xml:space="preserve">purchased </w:t>
        <w:br/>
        <w:t xml:space="preserve">Johnson, Washington and Martinez (₹ </w:t>
        <w:br/>
        <w:t xml:space="preserve">in </w:t>
        <w:br/>
        <w:t>millio</w:t>
        <w:br/>
        <w:t xml:space="preserve">n) </w:t>
        <w:br/>
        <w:t xml:space="preserve">% of </w:t>
        <w:br/>
        <w:t xml:space="preserve">total </w:t>
        <w:br/>
        <w:t xml:space="preserve">cost of </w:t>
        <w:br/>
        <w:t xml:space="preserve">raw </w:t>
        <w:br/>
        <w:t>material</w:t>
        <w:br/>
        <w:t xml:space="preserve">s and </w:t>
        <w:br/>
        <w:t>compon</w:t>
        <w:br/>
        <w:t xml:space="preserve">ents </w:t>
        <w:br/>
        <w:t>purchas</w:t>
        <w:br/>
        <w:t xml:space="preserve">ed </w:t>
        <w:br/>
        <w:t xml:space="preserve">949 Brown Mountains, New Brett, LA 97150 </w:t>
        <w:br/>
        <w:t xml:space="preserve">225.95 </w:t>
        <w:br/>
        <w:t xml:space="preserve">4.41% </w:t>
        <w:br/>
        <w:t>8,698</w:t>
        <w:br/>
        <w:t xml:space="preserve">1990-01-18 </w:t>
        <w:br/>
        <w:t xml:space="preserve">48.88% </w:t>
        <w:br/>
        <w:t>7,578.</w:t>
        <w:br/>
        <w:t xml:space="preserve">49 </w:t>
        <w:br/>
        <w:t xml:space="preserve">60.37% </w:t>
        <w:br/>
        <w:t>2,977.4</w:t>
        <w:br/>
        <w:t xml:space="preserve">8 </w:t>
        <w:br/>
        <w:t xml:space="preserve">31.51% </w:t>
        <w:br/>
        <w:t xml:space="preserve">UAE </w:t>
        <w:br/>
        <w:t xml:space="preserve">2,119.68 </w:t>
        <w:br/>
        <w:t xml:space="preserve">41.41% </w:t>
        <w:br/>
        <w:t>6,856</w:t>
        <w:br/>
        <w:t xml:space="preserve">.58 </w:t>
        <w:br/>
        <w:t xml:space="preserve">38.52% </w:t>
        <w:br/>
        <w:t>2,488.</w:t>
        <w:br/>
        <w:t xml:space="preserve">83 </w:t>
        <w:br/>
        <w:t xml:space="preserve">19.83% </w:t>
        <w:br/>
        <w:t>2,970.6</w:t>
        <w:br/>
        <w:t xml:space="preserve">7 </w:t>
        <w:br/>
        <w:t xml:space="preserve">31.44% </w:t>
        <w:br/>
        <w:t xml:space="preserve">Total </w:t>
        <w:br/>
        <w:t xml:space="preserve">2,345.63 </w:t>
        <w:br/>
        <w:t xml:space="preserve">45.82% </w:t>
        <w:br/>
        <w:t>15,555</w:t>
        <w:br/>
        <w:t xml:space="preserve">.57 </w:t>
        <w:br/>
        <w:t xml:space="preserve">87.40% </w:t>
        <w:br/>
        <w:t>10,067.3</w:t>
        <w:br/>
        <w:t xml:space="preserve">2 </w:t>
        <w:br/>
        <w:t xml:space="preserve">80.20% </w:t>
        <w:br/>
        <w:t>5,948.1</w:t>
        <w:br/>
        <w:t xml:space="preserve">5 </w:t>
        <w:br/>
        <w:t xml:space="preserve">62.95% </w:t>
        <w:br/>
        <w:t xml:space="preserve"> </w:t>
        <w:br/>
        <w:t xml:space="preserve"> </w:t>
        <w:br/>
        <w:t xml:space="preserve">During the last three Rivera, Gomez and Levine, the prices of copper and aluminium have experienced a compounded annual growth rate </w:t>
        <w:br/>
        <w:t xml:space="preserve">(CAGR) of 3.1% and 0.5%, respectively, leading to increased input costs (Source: CARE Report). While we have not </w:t>
        <w:br/>
        <w:t xml:space="preserve">faced any significant challenges in the procurement of raw materials in the 2009-01-21 period ended 2001-12-06, 2004-11-20 or </w:t>
        <w:br/>
        <w:t xml:space="preserve">Fiscals 2025, 2000-11-24 and 2001-11-27, we cannot assure that we will not face any disruptions in future. Any significant shortfall </w:t>
        <w:br/>
        <w:t xml:space="preserve">in supply or increase in costs could adversely affect the pricing and supply of our products, impair our competitiveness, </w:t>
        <w:br/>
        <w:t xml:space="preserve">and negatively impact our business operations, financial condition, cash flows and results of operations. </w:t>
        <w:br/>
        <w:t xml:space="preserve">4. </w:t>
        <w:br/>
        <w:t xml:space="preserve">A significant portion of our revenue from operations i.e. 71.73%, 74.79%, 75.17% and 79.08% of our operating </w:t>
        <w:br/>
        <w:t xml:space="preserve">revenue for the 1970-09-26 period ended 2022-12-24 and Fiscals 2025, 2006-05-30 and 1993-05-18, respectively is </w:t>
        <w:br/>
        <w:t xml:space="preserve">attributable to the power sector (generation, transmission and distribution) industry (“Power Sector”). Any </w:t>
        <w:br/>
        <w:t xml:space="preserve">economic cyclicality coupled with reduced demand or negative trend in the Power Sector industry or other industries </w:t>
        <w:br/>
        <w:t xml:space="preserve">that we operate in, could adversely affect our business, results of operations and financial condition. </w:t>
        <w:br/>
        <w:t xml:space="preserve">We are dependent on our customers from Ryan, Riley and Austin for a significant portion of our operating revenue. Set out </w:t>
        <w:br/>
        <w:t xml:space="preserve">below are details of our operating revenue generated from each of the industries that we cater to, for the period/ Toni Miller </w:t>
        <w:br/>
        <w:t xml:space="preserve">indicated: </w:t>
        <w:br/>
        <w:t xml:space="preserve"> </w:t>
        <w:br/>
        <w:t>End-</w:t>
        <w:br/>
        <w:t xml:space="preserve">user </w:t>
        <w:br/>
        <w:t>indust</w:t>
        <w:br/>
        <w:t xml:space="preserve">ry </w:t>
        <w:br/>
        <w:t xml:space="preserve">2012-12-01 </w:t>
        <w:br/>
        <w:t xml:space="preserve">period </w:t>
        <w:br/>
        <w:t xml:space="preserve">ended 2002-02-24, 1986-09-09 </w:t>
        <w:br/>
        <w:t xml:space="preserve">Fiscal </w:t>
        <w:br/>
        <w:t xml:space="preserve">1976-01-08 </w:t>
        <w:br/>
        <w:t xml:space="preserve">Fiscal </w:t>
        <w:br/>
        <w:t xml:space="preserve">2011-07-08 </w:t>
        <w:br/>
        <w:t xml:space="preserve">Fiscal </w:t>
        <w:br/>
        <w:t xml:space="preserve">2023 </w:t>
        <w:br/>
        <w:t xml:space="preserve">Amount </w:t>
        <w:br/>
        <w:t xml:space="preserve">(Marshall-Miller in </w:t>
        <w:br/>
        <w:t>millio</w:t>
        <w:br/>
        <w:t xml:space="preserve">n) </w:t>
        <w:br/>
        <w:t xml:space="preserve">% of </w:t>
        <w:br/>
        <w:t>operati</w:t>
        <w:br/>
        <w:t xml:space="preserve">Simon, Terrell and Terrell (₹ </w:t>
        <w:br/>
        <w:t xml:space="preserve">in </w:t>
        <w:br/>
        <w:t>millio</w:t>
        <w:br/>
        <w:t xml:space="preserve">n) </w:t>
        <w:br/>
        <w:t xml:space="preserve">% of </w:t>
        <w:br/>
        <w:t>operati</w:t>
        <w:br/>
        <w:t xml:space="preserve">Nixon-Miller </w:t>
        <w:br/>
        <w:t>A</w:t>
        <w:br/>
        <w:t>m</w:t>
        <w:br/>
        <w:t>o</w:t>
        <w:br/>
        <w:t>Bush-Wilson</w:t>
        <w:br/>
        <w:t xml:space="preserve">t </w:t>
        <w:br/>
        <w:t>(</w:t>
        <w:br/>
        <w:t xml:space="preserve">Johnston, Johnson and Johnson </w:t>
        <w:br/>
        <w:t>i</w:t>
        <w:br/>
        <w:t xml:space="preserve">n </w:t>
        <w:br/>
        <w:t>mi</w:t>
        <w:br/>
        <w:t>lli</w:t>
        <w:br/>
        <w:t>on</w:t>
        <w:br/>
        <w:t xml:space="preserve">) </w:t>
        <w:br/>
        <w:t xml:space="preserve">% of </w:t>
        <w:br/>
        <w:t>operati</w:t>
        <w:br/>
        <w:t xml:space="preserve">Young, Shaw and Jenkins(Jacobs-Lane in </w:t>
        <w:br/>
        <w:t>millio</w:t>
        <w:br/>
        <w:t xml:space="preserve">n) </w:t>
        <w:br/>
        <w:t xml:space="preserve">% of </w:t>
        <w:br/>
        <w:t>operati</w:t>
        <w:br/>
        <w:t>Cruz-Perez</w:t>
        <w:br/>
        <w:t xml:space="preserve">r </w:t>
        <w:br/>
        <w:t xml:space="preserve">3,798.10 </w:t>
        <w:br/>
        <w:t xml:space="preserve">71.73% </w:t>
        <w:br/>
        <w:t>13,502</w:t>
        <w:br/>
        <w:t xml:space="preserve">.66 </w:t>
        <w:br/>
        <w:t xml:space="preserve">74.79% </w:t>
        <w:br/>
        <w:t>9,642</w:t>
        <w:br/>
        <w:t xml:space="preserve">.92 </w:t>
        <w:br/>
        <w:t xml:space="preserve">75.17% </w:t>
        <w:br/>
        <w:t xml:space="preserve">7,652.26 </w:t>
        <w:br/>
        <w:t xml:space="preserve">79.08% </w:t>
        <w:br/>
      </w:r>
    </w:p>
    <w:p>
      <w:r>
        <w:br w:type="page"/>
      </w:r>
    </w:p>
    <w:p>
      <w:r>
        <w:t xml:space="preserve">1981-11-19 </w:t>
        <w:br/>
        <w:t xml:space="preserve"> </w:t>
        <w:br/>
        <w:t xml:space="preserve">Others* </w:t>
        <w:br/>
        <w:t xml:space="preserve">1,496.93 </w:t>
        <w:br/>
        <w:t xml:space="preserve">28.27% </w:t>
        <w:br/>
        <w:t>4,55</w:t>
        <w:br/>
        <w:t xml:space="preserve">0.79 </w:t>
        <w:br/>
        <w:t xml:space="preserve">25.21% </w:t>
        <w:br/>
        <w:t>3,185</w:t>
        <w:br/>
        <w:t xml:space="preserve">.92 </w:t>
        <w:br/>
        <w:t xml:space="preserve">24.83% </w:t>
        <w:br/>
        <w:t xml:space="preserve">2,023.98 </w:t>
        <w:br/>
        <w:t xml:space="preserve">20.92% </w:t>
        <w:br/>
        <w:t xml:space="preserve"> </w:t>
        <w:br/>
      </w:r>
    </w:p>
    <w:p>
      <w:r>
        <w:br w:type="page"/>
      </w:r>
    </w:p>
    <w:p>
      <w:r>
        <w:t xml:space="preserve">59 </w:t>
        <w:br/>
        <w:t xml:space="preserve"> </w:t>
        <w:br/>
        <w:t>End-</w:t>
        <w:br/>
        <w:t xml:space="preserve">user </w:t>
        <w:br/>
        <w:t>indust</w:t>
        <w:br/>
        <w:t xml:space="preserve">ry </w:t>
        <w:br/>
        <w:t xml:space="preserve">2020-12-22 </w:t>
        <w:br/>
        <w:t xml:space="preserve">period </w:t>
        <w:br/>
        <w:t xml:space="preserve">ended 2015-12-15, 2022-08-12 </w:t>
        <w:br/>
        <w:t xml:space="preserve">Fiscal </w:t>
        <w:br/>
        <w:t xml:space="preserve">2001-05-18 </w:t>
        <w:br/>
        <w:t xml:space="preserve">Fiscal </w:t>
        <w:br/>
        <w:t xml:space="preserve">1996-08-14 </w:t>
        <w:br/>
        <w:t xml:space="preserve">Fiscal </w:t>
        <w:br/>
        <w:t xml:space="preserve">2023 </w:t>
        <w:br/>
        <w:t xml:space="preserve">Amount </w:t>
        <w:br/>
        <w:t xml:space="preserve">(Scott PLC in </w:t>
        <w:br/>
        <w:t>millio</w:t>
        <w:br/>
        <w:t xml:space="preserve">n) </w:t>
        <w:br/>
        <w:t xml:space="preserve">% of </w:t>
        <w:br/>
        <w:t>operati</w:t>
        <w:br/>
        <w:t xml:space="preserve">Garrison, Rogers and Adams (₹ </w:t>
        <w:br/>
        <w:t xml:space="preserve">in </w:t>
        <w:br/>
        <w:t>millio</w:t>
        <w:br/>
        <w:t xml:space="preserve">n) </w:t>
        <w:br/>
        <w:t xml:space="preserve">% of </w:t>
        <w:br/>
        <w:t>operati</w:t>
        <w:br/>
        <w:t xml:space="preserve">Blanchard-Reynolds(Blanchard, Davis and Schmidt in </w:t>
        <w:br/>
        <w:t>millio</w:t>
        <w:br/>
        <w:t xml:space="preserve">n) </w:t>
        <w:br/>
        <w:t xml:space="preserve">% of </w:t>
        <w:br/>
        <w:t>operati</w:t>
        <w:br/>
        <w:t xml:space="preserve">Gregory-Nixon(Roberts Group in </w:t>
        <w:br/>
        <w:t>millio</w:t>
        <w:br/>
        <w:t xml:space="preserve">n) </w:t>
        <w:br/>
        <w:t xml:space="preserve">% of </w:t>
        <w:br/>
        <w:t>operati</w:t>
        <w:br/>
        <w:t xml:space="preserve">Thomas-Berg# </w:t>
        <w:br/>
        <w:t>5</w:t>
        <w:br/>
        <w:t>,</w:t>
        <w:br/>
        <w:t>2</w:t>
        <w:br/>
        <w:t>9</w:t>
        <w:br/>
        <w:t>5</w:t>
        <w:br/>
        <w:t>.</w:t>
        <w:br/>
        <w:t>0</w:t>
        <w:br/>
        <w:t xml:space="preserve">3 </w:t>
        <w:br/>
        <w:t>10</w:t>
        <w:br/>
        <w:t>0.</w:t>
        <w:br/>
        <w:t>00</w:t>
        <w:br/>
        <w:t xml:space="preserve">% </w:t>
        <w:br/>
        <w:t>18,05</w:t>
        <w:br/>
        <w:t xml:space="preserve">3.45 </w:t>
        <w:br/>
        <w:t>10</w:t>
        <w:br/>
        <w:t>0.</w:t>
        <w:br/>
        <w:t>00</w:t>
        <w:br/>
        <w:t xml:space="preserve">% </w:t>
        <w:br/>
        <w:t>12,828</w:t>
        <w:br/>
        <w:t xml:space="preserve">.84 </w:t>
        <w:br/>
        <w:t>10</w:t>
        <w:br/>
        <w:t>0.</w:t>
        <w:br/>
        <w:t>00</w:t>
        <w:br/>
        <w:t xml:space="preserve">% </w:t>
        <w:br/>
        <w:t>9,</w:t>
        <w:br/>
        <w:t>6</w:t>
        <w:br/>
        <w:t>7</w:t>
        <w:br/>
        <w:t>6.</w:t>
        <w:br/>
        <w:t>2</w:t>
        <w:br/>
        <w:t xml:space="preserve">4 </w:t>
        <w:br/>
        <w:t>10</w:t>
        <w:br/>
        <w:t>0.</w:t>
        <w:br/>
        <w:t>00</w:t>
        <w:br/>
        <w:t xml:space="preserve">% </w:t>
        <w:br/>
        <w:t xml:space="preserve"> </w:t>
        <w:br/>
        <w:t xml:space="preserve">* Others include industrials, automotives (Hall, Vega and Price and ICE), home appliances, refrigeration and air conditioning. </w:t>
        <w:br/>
        <w:t xml:space="preserve"># Excludes other operating income including income from scrap and income from remission of duties and taxes on export products. </w:t>
        <w:br/>
        <w:t xml:space="preserve"> </w:t>
        <w:br/>
        <w:t xml:space="preserve">Any downturn or negative trends in Alvarez-Vaughan due to reasons such as consumer demand, consumer confidence, </w:t>
        <w:br/>
        <w:t xml:space="preserve">changes in national and international trade policies, imposition of tariffs, sanctions by countries on input materials, </w:t>
        <w:br/>
        <w:t xml:space="preserve">changes in government policies, environmental regulations, and commodity prices, could result in loss of business or </w:t>
        <w:br/>
        <w:t xml:space="preserve">reduction in the volume of business from customers operating in these industries. While there has not been significant </w:t>
        <w:br/>
        <w:t xml:space="preserve">reduction in demand from Marshall Group in the 1973-07-29 period ended 1977-11-23, and the Fiscals 2025, 2025-10-08 </w:t>
        <w:br/>
        <w:t xml:space="preserve">and 2023, there can be no assurance that there will not be any such reduction in future. Further, there can be no </w:t>
        <w:br/>
        <w:t xml:space="preserve">assurance that any instance of economic cyclicality, significant reduction in demand or negative trends in Wilkinson, Brown and Baker </w:t>
        <w:br/>
        <w:t xml:space="preserve">will not occur in the future, which may impact our sales and in turn adversely affect our business, financial condition, </w:t>
        <w:br/>
        <w:t xml:space="preserve">cash flows and results of operations. </w:t>
        <w:br/>
        <w:t xml:space="preserve">5. </w:t>
        <w:br/>
        <w:t xml:space="preserve">We derive a substantial portion of our revenue (more than 70% in each of the 2009-04-26 period ended 1984-05-07, </w:t>
        <w:br/>
        <w:t xml:space="preserve">1981-05-20, and Fiscals 2025, 2013-05-22 and 2019-05-28) from the sale of specialized magnet winding wires. Any reduction in demand </w:t>
        <w:br/>
        <w:t xml:space="preserve">for our key products would have a material adverse effect on our business, financial condition, results of operations </w:t>
        <w:br/>
        <w:t xml:space="preserve">and cash flows. </w:t>
        <w:br/>
        <w:t xml:space="preserve">We significantly rely on revenue generated from specialized magnet winding wires. The specialized magnet winding </w:t>
        <w:br/>
        <w:t xml:space="preserve">wires that we manufacture are primarily used in transformers, generators, and power (generation, transmission and </w:t>
        <w:br/>
        <w:t xml:space="preserve">distribution). The table below sets out the revenues generated from sales of our key product segments i.e., specialised </w:t>
        <w:br/>
        <w:t xml:space="preserve">and standard magnet winding wires as a percentage of our operating revenue: </w:t>
        <w:br/>
        <w:t xml:space="preserve"> </w:t>
        <w:br/>
        <w:t>Produ</w:t>
        <w:br/>
        <w:t xml:space="preserve">cts </w:t>
        <w:br/>
        <w:t xml:space="preserve">1999-12-15 </w:t>
        <w:br/>
        <w:t xml:space="preserve">period ended </w:t>
        <w:br/>
        <w:t xml:space="preserve">June 30, 2014-12-16 </w:t>
        <w:br/>
        <w:t xml:space="preserve">Fiscal </w:t>
        <w:br/>
        <w:t xml:space="preserve">1986-03-12 </w:t>
        <w:br/>
        <w:t xml:space="preserve">Fiscal </w:t>
        <w:br/>
        <w:t xml:space="preserve">1996-01-28 </w:t>
        <w:br/>
        <w:t xml:space="preserve">Fiscal </w:t>
        <w:br/>
        <w:t xml:space="preserve">2023 </w:t>
        <w:br/>
        <w:t xml:space="preserve">Amount </w:t>
        <w:br/>
        <w:t xml:space="preserve">(₹ </w:t>
        <w:br/>
        <w:t xml:space="preserve">in </w:t>
        <w:br/>
        <w:t xml:space="preserve">million) </w:t>
        <w:br/>
        <w:t xml:space="preserve">% of </w:t>
        <w:br/>
        <w:t>operati</w:t>
        <w:br/>
        <w:t xml:space="preserve">Mullins-Gutierrez(₹ </w:t>
        <w:br/>
        <w:t xml:space="preserve">in </w:t>
        <w:br/>
        <w:t xml:space="preserve">million) </w:t>
        <w:br/>
        <w:t xml:space="preserve">% of </w:t>
        <w:br/>
        <w:t>operati</w:t>
        <w:br/>
        <w:t xml:space="preserve">Larson and Sons(₹ </w:t>
        <w:br/>
        <w:t xml:space="preserve">in </w:t>
        <w:br/>
        <w:t xml:space="preserve">million) </w:t>
        <w:br/>
        <w:t xml:space="preserve">% of </w:t>
        <w:br/>
        <w:t>operati</w:t>
        <w:br/>
        <w:t xml:space="preserve">Cooper Inc(₹ </w:t>
        <w:br/>
        <w:t xml:space="preserve">in </w:t>
        <w:br/>
        <w:t xml:space="preserve">million) </w:t>
        <w:br/>
        <w:t xml:space="preserve">% of </w:t>
        <w:br/>
        <w:t>operati</w:t>
        <w:br/>
        <w:t xml:space="preserve">Young, White and Rose </w:t>
        <w:br/>
        <w:t xml:space="preserve">magnet winding </w:t>
        <w:br/>
        <w:t xml:space="preserve">wires </w:t>
        <w:br/>
        <w:t xml:space="preserve">3,798.10 </w:t>
        <w:br/>
        <w:t xml:space="preserve">71.73% </w:t>
        <w:br/>
        <w:t xml:space="preserve">13,502.66 </w:t>
        <w:br/>
        <w:t xml:space="preserve">74.79% </w:t>
        <w:br/>
        <w:t>9,64</w:t>
        <w:br/>
        <w:t xml:space="preserve">2.92 </w:t>
        <w:br/>
        <w:t xml:space="preserve">75.17% </w:t>
        <w:br/>
        <w:t xml:space="preserve">7,652.26 </w:t>
        <w:br/>
        <w:t xml:space="preserve">79.08% </w:t>
        <w:br/>
        <w:t>Wood-Thompson</w:t>
        <w:br/>
        <w:t xml:space="preserve">gnet winding </w:t>
        <w:br/>
        <w:t xml:space="preserve">wires </w:t>
        <w:br/>
        <w:t xml:space="preserve">1,496.93 </w:t>
        <w:br/>
        <w:t xml:space="preserve">28.27% </w:t>
        <w:br/>
        <w:t xml:space="preserve">4,550.79 </w:t>
        <w:br/>
        <w:t xml:space="preserve">25.21% </w:t>
        <w:br/>
        <w:t>3,18</w:t>
        <w:br/>
        <w:t xml:space="preserve">5.92 </w:t>
        <w:br/>
        <w:t xml:space="preserve">24.82% </w:t>
        <w:br/>
        <w:t xml:space="preserve">2,023.98 </w:t>
        <w:br/>
        <w:t xml:space="preserve">20.92% </w:t>
        <w:br/>
        <w:t xml:space="preserve">Total </w:t>
        <w:br/>
        <w:t xml:space="preserve">5,295.03 </w:t>
        <w:br/>
        <w:t xml:space="preserve">100.00% </w:t>
        <w:br/>
        <w:t xml:space="preserve">18,053.45 </w:t>
        <w:br/>
        <w:t xml:space="preserve">100.00% </w:t>
        <w:br/>
        <w:t>12,828</w:t>
        <w:br/>
        <w:t xml:space="preserve">.84 </w:t>
        <w:br/>
        <w:t xml:space="preserve">100.00% </w:t>
        <w:br/>
        <w:t xml:space="preserve">9,676.24 </w:t>
        <w:br/>
        <w:t xml:space="preserve">100.00% </w:t>
        <w:br/>
        <w:t xml:space="preserve"> </w:t>
        <w:br/>
        <w:t xml:space="preserve"> </w:t>
        <w:br/>
        <w:t xml:space="preserve">While we have not experienced any material sustained decline in the sale of our key products in the 2014-11-09 period </w:t>
        <w:br/>
        <w:t xml:space="preserve">ended 1980-04-14, and the Fiscals 2025, 2020-04-15, and 2010-04-09, there is no assurance that we will not face any decline in </w:t>
        <w:br/>
      </w:r>
    </w:p>
    <w:p>
      <w:r>
        <w:br w:type="page"/>
      </w:r>
    </w:p>
    <w:p>
      <w:r>
        <w:t xml:space="preserve">60 </w:t>
        <w:br/>
        <w:t xml:space="preserve"> </w:t>
        <w:br/>
        <w:t xml:space="preserve">the future. Any failure to successfully manufacture and market specialized magnet winding wires, whether on account </w:t>
        <w:br/>
        <w:t xml:space="preserve">of regulatory changes or changes in technologies, including creation of alternate technologies, or otherwise could </w:t>
        <w:br/>
        <w:t xml:space="preserve">adversely affect our business, financial condition, cash flows and results of operations. </w:t>
        <w:br/>
        <w:t xml:space="preserve">6. </w:t>
        <w:br/>
        <w:t xml:space="preserve">We have not yet placed orders in relation to the capital expenditure to be incurred for certain of our proposed objects </w:t>
        <w:br/>
        <w:t xml:space="preserve">of the Offer. In the event of any delay in placing the orders, or in the event the vendors are not able to provide the </w:t>
        <w:br/>
        <w:t xml:space="preserve">requisite equipment in a timely manner, or at all, the same may result in time and cost over-runs. </w:t>
        <w:br/>
        <w:t xml:space="preserve">We intend to utilize portions of Norman LLC for funding capital expenditure requirements for (i) funding the capital </w:t>
        <w:br/>
        <w:t xml:space="preserve">expenditure requirements of our Company towards purchasing and setting up of new machinery for expansion at our </w:t>
        <w:br/>
        <w:t xml:space="preserve">Patricia Morris; (ii) funding the capital expenditure requirements of our Company towards purchasing and setting up of </w:t>
        <w:br/>
        <w:t xml:space="preserve">a rooftop solar power plant for power generation at our Destiny Simmons; and (iii) funding the capital expenditure </w:t>
        <w:br/>
        <w:t xml:space="preserve">requirements of our Company towards purchasing and setting up of new machinery at Unit 2 in 92692 Heather Glen, Stevenland, SC 59934, 753 King Bypass, New Christopherborough, PA 84135 in </w:t>
        <w:br/>
        <w:t xml:space="preserve">Decker Inc (collectively, “Proposed Capital Expenditure”). While we have procured quotations from various </w:t>
        <w:br/>
        <w:t xml:space="preserve">vendors in relation to the capital expenditure to be incurred for Kaiser, Edwards and Smith, we have not placed </w:t>
        <w:br/>
        <w:t xml:space="preserve">any firm orders for certain of them. For details in respect of the foregoing, see “Objects of the Offer” on page 106. </w:t>
        <w:br/>
        <w:t xml:space="preserve">Such quotations are valid for a certain period of time and may be subject to revisions, and other commercial and </w:t>
        <w:br/>
        <w:t xml:space="preserve">technical factors. We cannot assure that we will be able to undertake such capital expenditure at the costs indicated by </w:t>
        <w:br/>
        <w:t xml:space="preserve">such quotations or that there will not be cost escalations over and above the contingencies proposed to be funded out </w:t>
        <w:br/>
        <w:t xml:space="preserve">of Meyer Ltd. The actual amount and timing of our future capital requirements may differ from our estimates as </w:t>
        <w:br/>
        <w:t xml:space="preserve">a result of, among other things, unforeseen delays or cost overruns, unanticipated expenses, regulatory changes, </w:t>
        <w:br/>
        <w:t xml:space="preserve">engineering design changes and technological changes. Further, certain items of Navarro PLC, for </w:t>
        <w:br/>
      </w:r>
    </w:p>
    <w:p>
      <w:r>
        <w:br w:type="page"/>
      </w:r>
    </w:p>
    <w:p>
      <w:r>
        <w:t xml:space="preserve">61 </w:t>
        <w:br/>
        <w:t xml:space="preserve"> </w:t>
        <w:br/>
        <w:t xml:space="preserve">which our Ortega LLC has already placed purchase orders, may not be delivered within the expected time, or at all, and </w:t>
        <w:br/>
        <w:t xml:space="preserve">may impact the time and cost estimates of our Proposed Capital Expenditure. </w:t>
        <w:br/>
        <w:t xml:space="preserve">In the event of any delay in placing the orders, or an escalation in the cost of acquisition of the equipment or in the </w:t>
        <w:br/>
        <w:t xml:space="preserve">event the vendors are not able to provide the equipment and services in a timely manner, or at all, we may encounter </w:t>
        <w:br/>
        <w:t xml:space="preserve">time and cost overruns for Delgado Inc. Further, if we are unable to procure the requisite items </w:t>
        <w:br/>
        <w:t xml:space="preserve">for Proposed King, Griffin and Mosley and ancillary items or avail services from the vendors from whom we have procured </w:t>
        <w:br/>
        <w:t xml:space="preserve">quotations, we cannot assure you that we may be able to identify alternative vendors to provide us with the similar </w:t>
        <w:br/>
        <w:t xml:space="preserve">kind of items for Proposed Capital Expenditure and ancillary items and services, which satisfy our requirements at </w:t>
        <w:br/>
        <w:t xml:space="preserve">acceptable prices. Our inability to procure the items for Proposed Capital Expenditure at acceptable prices or in a </w:t>
        <w:br/>
        <w:t xml:space="preserve">timely manner, may result in an increase in capital expenditure, extension or variation in the proposed schedule of </w:t>
        <w:br/>
        <w:t xml:space="preserve">implementation and deployment of Green, Johnson and Jones, thereby resulting in an adverse effect on our business operations, </w:t>
        <w:br/>
        <w:t xml:space="preserve">financial condition, cash flows and results of operations. </w:t>
        <w:br/>
        <w:t xml:space="preserve">7. </w:t>
        <w:br/>
        <w:t xml:space="preserve">Our operations are significantly dependent on our manufacturing facilities. Any unscheduled, unplanned or </w:t>
        <w:br/>
        <w:t xml:space="preserve">prolonged disruption, slowdown or shutdown of our manufacturing facilities could have a material adverse effect </w:t>
        <w:br/>
        <w:t xml:space="preserve">on our business, financial condition, cash flows and results of operations. </w:t>
        <w:br/>
        <w:t xml:space="preserve">Our business is dependent upon our ability to efficiently manage our manufacturing facilities, and the operational risks </w:t>
        <w:br/>
        <w:t xml:space="preserve">associated with it, including those beyond our control. As of the date of this Red Herring Prospectus, we have three </w:t>
        <w:br/>
        <w:t xml:space="preserve">operational manufacturing facilities in 627 Douglas Trafficway, Robinsonville, PW 58379. For details in relation to our manufacturing facilities, and their capacity </w:t>
        <w:br/>
        <w:t xml:space="preserve">utilization, see “Our Business – Manufacturing Facilities” and “Our Business – Capacity and Capacity Utilization” </w:t>
        <w:br/>
        <w:t xml:space="preserve">on pages 229 and 230, respectively. Any unscheduled, unplanned or prolonged disruption in our manufacturing </w:t>
        <w:br/>
        <w:t xml:space="preserve">facilities may result in delays or shutdowns of our production activities. While we perform regular scheduled and </w:t>
        <w:br/>
        <w:t xml:space="preserve">unscheduled maintenance services and employ other systems and processes such as power backups, employee training </w:t>
        <w:br/>
        <w:t xml:space="preserve">and productivity monitoring at each of our manufacturing facilities, these facilities are subject to various operating </w:t>
        <w:br/>
        <w:t xml:space="preserve">risks, such as the breakdown or failure of equipment, power supply or processes, productivity of our workforce, </w:t>
        <w:br/>
        <w:t xml:space="preserve">performance below expected levels of efficiency, obsolescence of equipment or machinery, timely availability of raw </w:t>
        <w:br/>
        <w:t xml:space="preserve">materials, labour disputes, strikes, natural disasters, industrial accidents, fire, severe weather conditions, any significant </w:t>
        <w:br/>
        <w:t xml:space="preserve">social, political or economic disturbances and infectious disease outbreaks resulting in unplanned slowdowns and/or </w:t>
        <w:br/>
        <w:t xml:space="preserve">shutdowns and the need to comply with the directives of relevant government and regulatory authorities. Our inability </w:t>
        <w:br/>
        <w:t xml:space="preserve">to effectively respond to any breakdown, shutdown or to rectify any disruption, in a timely manner and at an acceptable </w:t>
        <w:br/>
        <w:t xml:space="preserve">cost, could lead to an adverse effect on our business, financial condition, cash flows and results of operations. While </w:t>
        <w:br/>
        <w:t xml:space="preserve">there has not been any breakdown, unscheduled, unplanned or prolonged disruption, slowdown or shutdown of our </w:t>
        <w:br/>
        <w:t xml:space="preserve">manufacturing facilities which had material adverse effect on the business, financial condition, cash flows and results </w:t>
        <w:br/>
        <w:t xml:space="preserve">of operations of our Company during the 1974-09-21 period ended 1999-12-25, or Fiscals 2025, 1982-02-09, and 2023, </w:t>
        <w:br/>
        <w:t xml:space="preserve">we cannot assure that there will not be any breakdowns in future. </w:t>
        <w:br/>
        <w:t xml:space="preserve">Further, we run the risk of an industrial action by our unionized non-managerial employees. Our non-managerial staff </w:t>
        <w:br/>
        <w:t xml:space="preserve">are organized in a registered trade union through which we negotiate the terms and conditions of their compensation </w:t>
        <w:br/>
        <w:t xml:space="preserve">and the redressal of their grievances. For details in relation to memorandum of settlement with the Scott LLC, see “Our Business – Human Resources” on page 235. In addition, we may be </w:t>
        <w:br/>
        <w:t xml:space="preserve">subject to manufacturing disruptions due to contraventions by us of any of the conditions of our regulatory approvals, </w:t>
        <w:br/>
        <w:t xml:space="preserve">which may require our manufacturing facilities to cease, or limit, production until the disputes concerning such </w:t>
        <w:br/>
        <w:t xml:space="preserve">approvals are resolved. While we may be able to transfer manufacturing activities to another facility, servicing our </w:t>
        <w:br/>
        <w:t xml:space="preserve">customers from distant manufacturing locations may lead to delays and increased costs which could impact our </w:t>
        <w:br/>
        <w:t xml:space="preserve">reputation and profitability. A shutdown of any such facility, including due to delays or non-renewal of specific </w:t>
        <w:br/>
        <w:t xml:space="preserve">approvals, will result in an inability to manufacture the relevant products for the duration of such shutdown. Further, </w:t>
        <w:br/>
        <w:t xml:space="preserve">any significant malfunction or breakdown of our machinery may entail significant repair and maintenance costs and </w:t>
        <w:br/>
        <w:t xml:space="preserve">cause delays in our operations. Interruptions in production or operational activities beyond our control such as </w:t>
        <w:br/>
        <w:t xml:space="preserve">transportation of finished products, may also increase our costs and reduce our sales and may require us to make </w:t>
        <w:br/>
        <w:t xml:space="preserve">substantial capital expenditures to remedy the situation or to defend litigation that we may become involved in as a </w:t>
        <w:br/>
        <w:t xml:space="preserve">result, which may negatively affect our reputation, profitability, business, financial condition, cash flows and results </w:t>
        <w:br/>
        <w:t xml:space="preserve">of operations. There is also no assurance that we will be able to recover all, or part of the losses incurred, under our </w:t>
        <w:br/>
        <w:t xml:space="preserve">insurance policies. While there has not been any such disruptions in the 1992-08-21 period ended 1996-06-11, 1996-01-19 or </w:t>
        <w:br/>
        <w:t xml:space="preserve">Fiscals 2025, 1974-03-31 and 2022-11-19, there can be no assurance that such instances will not occur in the future, and any such </w:t>
        <w:br/>
        <w:t xml:space="preserve">disruption may result in delays or shutdown of our manufacturing activities which may adversely affect our business, </w:t>
        <w:br/>
        <w:t xml:space="preserve">financial condition, cash flows and results of operations. </w:t>
        <w:br/>
      </w:r>
    </w:p>
    <w:p>
      <w:r>
        <w:br w:type="page"/>
      </w:r>
    </w:p>
    <w:p>
      <w:r>
        <w:t xml:space="preserve">62 </w:t>
        <w:br/>
        <w:t xml:space="preserve"> </w:t>
        <w:br/>
        <w:t xml:space="preserve">8. </w:t>
        <w:br/>
        <w:t xml:space="preserve">We have encountered delays in the past and may encounter delays or time cost overruns in the completion of the </w:t>
        <w:br/>
        <w:t xml:space="preserve">construction of our manufacturing facility at Daniel King, Thomas Brown (formerly Susan Jimenez) in Hogan Ltd, which </w:t>
        <w:br/>
        <w:t xml:space="preserve">may adversely affect our business, result of operations, financial condition and cash flows. </w:t>
        <w:br/>
        <w:t xml:space="preserve">Our manufacturing unit at Hill and Sons, Ms. Julie Sims (formerly Lisa Huffman) in Wilson PLC was originally anticipated to </w:t>
        <w:br/>
        <w:t xml:space="preserve">commence operations by 1986-01-13, however, we have experienced delays in setting up our Hannah Smith and </w:t>
        <w:br/>
        <w:t xml:space="preserve">operations have commenced in 2026-03-30. Further, the enhancement in the annual installed capacity from 8,800 </w:t>
        <w:br/>
        <w:t xml:space="preserve">7232 Mills Loop Apt. 290, Lake Vincent, CO 82708 to 12,000 021 Strickland Brook, Millertown, HI 12184 at our manufacturing unit at Jackson-Wood, 1982 Copeland Underpass Apt. 092, Bryanview, FL 99794, led to an increase in cost of the project. The delay </w:t>
        <w:br/>
        <w:t xml:space="preserve">in project completion was caused by delay in activities like placement of purchase orders, delivery and installation of </w:t>
        <w:br/>
        <w:t xml:space="preserve">plant and machinery, mechanical, electrical and plumbing, utility and other equipment. We may face further delays or </w:t>
        <w:br/>
        <w:t xml:space="preserve">cost overruns in completion of further phases of construction of our Supa Facility in the future on account of several </w:t>
        <w:br/>
        <w:t xml:space="preserve">factors, including delays in receiving governmental, statutory, and other regulatory approvals and permits, and delays </w:t>
        <w:br/>
        <w:t xml:space="preserve">in or non-delivery of construction equipment by suppliers, among others. </w:t>
        <w:br/>
        <w:t xml:space="preserve">Additionally, an amount of ₹ 783.77 million from Rogers-Huff is intended to be utilised towards the Phase II </w:t>
        <w:br/>
        <w:t xml:space="preserve">Expansion at our Supa Facility. For further details, see “Objects of the Offer – Funding the capital expenditure </w:t>
        <w:br/>
        <w:t xml:space="preserve">requirements of our Company towards: (i) purchasing and setting up of new machinery for expansion at our Connie Brock </w:t>
        <w:br/>
        <w:t xml:space="preserve">Facility (“Phase II Expansion at our Supa Facility”); and (ii) purchasing and setting up of new machinery at Unit 2 </w:t>
        <w:br/>
        <w:t xml:space="preserve">in 20204 Stephen Extension, Port Lisaville, NM 78485, 1387 Joyce Fort, North Jillfort, SD 02999 in 93761 Porter Village, Levytown, AZ 44971” on page 114. Any failure to complete the Phase II Expansion of this facility in a </w:t>
        <w:br/>
        <w:t xml:space="preserve">timely manner, and within budget, or at all, and any failure of receipt of the required approvals required for operation </w:t>
        <w:br/>
        <w:t xml:space="preserve">of the Supa Facility, could have an adverse impact on our business, results of operations, financial condition, and cash </w:t>
        <w:br/>
        <w:t xml:space="preserve">flows. </w:t>
        <w:br/>
        <w:t xml:space="preserve">9. </w:t>
        <w:br/>
        <w:t xml:space="preserve">We are subject to strict quality requirements and any product defect issues or failure by us or our raw material </w:t>
        <w:br/>
        <w:t xml:space="preserve">suppliers to comply with quality standards may lead to the cancellation of existing and future orders, recalls or </w:t>
        <w:br/>
        <w:t xml:space="preserve">exposure to potential product liability claims. </w:t>
        <w:br/>
        <w:t xml:space="preserve">We face an inherent business risk of exposure to product defects and subsequent liability claims if the use of any of </w:t>
        <w:br/>
        <w:t xml:space="preserve">our products results in personal injury or property damage. We and our component suppliers may not be able to meet </w:t>
        <w:br/>
        <w:t xml:space="preserve">regulatory quality standards in 74328 Tammy Shore Apt. 461, Tommouth, WA 25334 or abroad, or the quality standards imposed by our customers and applicable to </w:t>
        <w:br/>
        <w:t xml:space="preserve">our manufacturing processes, which could have a material adverse effect on our business, financial condition, results </w:t>
        <w:br/>
        <w:t xml:space="preserve">of operations and cash flows. We are also required to obtain material approvals and certifications for product quality </w:t>
        <w:br/>
        <w:t xml:space="preserve">verification in 7198 Cook Hollow, Brownland, MN 70575 and other jurisdictions. Further, our manufacturing facilities are subjected to rigorous quality </w:t>
        <w:br/>
        <w:t xml:space="preserve">control checks, accreditation requirements, and periodic inspections from various regulatory agencies that have issued </w:t>
        <w:br/>
        <w:t xml:space="preserve">us product and system certifications. If any of our products do not meet regulatory standards or are defective, we may </w:t>
        <w:br/>
        <w:t xml:space="preserve">be, inter alia, (i) responsible for damages relating to any defective products, (ii) required to replace, recall or redesign </w:t>
        <w:br/>
        <w:t xml:space="preserve">such products, (iii) incur significant costs to defend any such claims or (iv) restricted to produce or market such </w:t>
        <w:br/>
        <w:t xml:space="preserve">products to our customers. </w:t>
        <w:br/>
        <w:t xml:space="preserve">While there have not been any material product liability claims made against our products or any cancellation of </w:t>
        <w:br/>
        <w:t xml:space="preserve">existing or future orders, during the 1974-10-09 period ended 2023-06-12, or Fiscals 2025, 2025-04-11 and 2023-02-22, resulting </w:t>
        <w:br/>
        <w:t xml:space="preserve">in a material adverse impact on our business, financial condition, results of operations and cash flows, there can be no </w:t>
        <w:br/>
        <w:t xml:space="preserve">assurance that we will not face any product liability claims or cancellation of existing or future orders in the future. </w:t>
        <w:br/>
        <w:t xml:space="preserve">The quality of raw materials and the goods we trade in will have an impact on the quality of the finished products and </w:t>
        <w:br/>
        <w:t xml:space="preserve">in turn affect our brand image, business and revenue. There is no assurance that our products will always meet the </w:t>
        <w:br/>
        <w:t xml:space="preserve">satisfaction of our customers’ quality standards. Certain customers may also conduct pre-qualification evaluations </w:t>
        <w:br/>
        <w:t xml:space="preserve">before placing their first orders. Our or our supplier’s failure to comply with applicable regulations could cause adverse </w:t>
        <w:br/>
        <w:t xml:space="preserve">consequences to be imposed on us, including warning letters, fines, injunctions, civil penalties, the refusal of regulatory </w:t>
        <w:br/>
        <w:t xml:space="preserve">authorities to grant approvals, delays, suspensions or withdrawal of approvals, license revocation, seizures or recalls </w:t>
        <w:br/>
        <w:t xml:space="preserve">of products, operating restrictions and criminal prosecutions, all of which could harm our business. There can be no </w:t>
        <w:br/>
        <w:t xml:space="preserve">assurance that we or our suppliers comply or can continue to comply with all regulatory requirements or the quality </w:t>
        <w:br/>
        <w:t xml:space="preserve">requirement standards of our customers. Further, there can be no assurance that if we need to engage new suppliers to </w:t>
        <w:br/>
        <w:t xml:space="preserve">satisfy our business requirement, we will be able locate new suppliers in compliance with regulatory requirements in </w:t>
        <w:br/>
        <w:t xml:space="preserve">a timely manner, or at all. Failure to do so could lead to the cancellation of existing and future orders and have a </w:t>
        <w:br/>
        <w:t xml:space="preserve">material adverse effect on our business and revenue. </w:t>
        <w:br/>
        <w:t xml:space="preserve">We are an approved supplier of Graham-Anthony and Smith, Zimmerman and Wise for certain entities, and are required to undergo stringent </w:t>
        <w:br/>
        <w:t xml:space="preserve">pre-qualification requirements imposed by corporate, state, central government, and international organizations during </w:t>
        <w:br/>
        <w:t xml:space="preserve">their procurement processes. We have received approvals for our products from certain organisations who are the </w:t>
        <w:br/>
        <w:t xml:space="preserve">ultimate end-users of transformers and reactors. For further details, please see “Our Business – Overview” on page </w:t>
        <w:br/>
        <w:t xml:space="preserve">211. While there has not been any non-compliance with the quality standards of our customers during the 1996-08-18 </w:t>
        <w:br/>
        <w:t xml:space="preserve">period ended 1992-06-11, or Fiscals 2025, 2017-08-21 and 1980-04-26, we cannot assure you that any future non-compliance </w:t>
        <w:br/>
      </w:r>
    </w:p>
    <w:p>
      <w:r>
        <w:br w:type="page"/>
      </w:r>
    </w:p>
    <w:p>
      <w:r>
        <w:t xml:space="preserve">2004-04-08 </w:t>
        <w:br/>
        <w:t xml:space="preserve"> </w:t>
        <w:br/>
        <w:t xml:space="preserve">with quality standards will not result in a material adverse effect on our business, financial condition, results of </w:t>
        <w:br/>
        <w:t xml:space="preserve">operations, cash flows and prospects. </w:t>
        <w:br/>
        <w:t xml:space="preserve">For details of our certifications and accreditations, see “Our Business - Description of our Hodges, Flores and Hurst, </w:t>
        <w:br/>
        <w:t xml:space="preserve">Services, Packaging and Certifications” on page 233. Our manufacturing facilities and operating processes are also </w:t>
        <w:br/>
        <w:t>audited by third party auditors. In the event we fail to comply with the requirements of customers in relation to third-</w:t>
        <w:br/>
        <w:t xml:space="preserve">party audits, or fail our audits, we may be in breach of our arrangements with certain customers. In the event we are </w:t>
        <w:br/>
        <w:t xml:space="preserve">unable to renew our accreditations or comply with the accreditation criteria or if such agencies find that we are not in </w:t>
        <w:br/>
        <w:t xml:space="preserve">compliance with the standards and norms prescribed, our accreditation may be revoked, or we may not be granted </w:t>
        <w:br/>
        <w:t xml:space="preserve">accreditation. While we have not faced any instances of non-renewal or loss of any certification or accreditation for </w:t>
        <w:br/>
        <w:t xml:space="preserve">any of our manufacturing facilities in the 1984-04-11 period ended 2017-10-30, or Fiscals 2025, 2009-06-23 and 2021-03-11, </w:t>
        <w:br/>
        <w:t xml:space="preserve">there can be no assurance that these instances will not occur in the future. If we lose one or more of our accreditations </w:t>
        <w:br/>
        <w:t xml:space="preserve">or certifications, our reputation, business, cash flows and results of operations may be adversely affected. </w:t>
        <w:br/>
        <w:t xml:space="preserve">10. </w:t>
        <w:br/>
        <w:t xml:space="preserve">We export our products to various countries and our revenue from outside 818 Devon Isle, New Daniel, NJ 97150 represented 30.75%, 33.20%, 39.15% </w:t>
        <w:br/>
        <w:t xml:space="preserve">and 43.93% of our sale of products for the 1972-10-12 period ended 2012-02-18, and Fiscals 2025, 2001-09-01 and </w:t>
        <w:br/>
        <w:t xml:space="preserve">1994-11-17, respectively. Any adverse events affecting these countries or changes in laws and duties in relation to exports </w:t>
        <w:br/>
        <w:t xml:space="preserve">could have an adverse impact on our business, revenue operations, financial condition and cash flows. </w:t>
        <w:br/>
        <w:t xml:space="preserve">We have supplied our products to customers across 24 countries outside USNV Barron, FPO AE 50695, as of 2020-01-26. The table below </w:t>
        <w:br/>
        <w:t xml:space="preserve">sets forth details of the customers served outside 5804 Mullins Square, Port Gail, RI 44501 and revenue generated from such customers in the years/ periods </w:t>
        <w:br/>
        <w:t xml:space="preserve">indicated: </w:t>
        <w:br/>
        <w:t xml:space="preserve"> </w:t>
        <w:br/>
        <w:t>Particula</w:t>
        <w:br/>
        <w:t xml:space="preserve">rs </w:t>
        <w:br/>
        <w:t xml:space="preserve">1970-02-03 </w:t>
        <w:br/>
        <w:t xml:space="preserve">period </w:t>
        <w:br/>
        <w:t xml:space="preserve">ended </w:t>
        <w:br/>
        <w:t xml:space="preserve">2013-02-07, </w:t>
        <w:br/>
        <w:t xml:space="preserve">2017-11-25 </w:t>
        <w:br/>
        <w:t xml:space="preserve">Fiscal </w:t>
        <w:br/>
        <w:t xml:space="preserve">2001-08-06 </w:t>
        <w:br/>
        <w:t xml:space="preserve">Fiscal </w:t>
        <w:br/>
        <w:t xml:space="preserve">2012-08-27 </w:t>
        <w:br/>
        <w:t xml:space="preserve">Fiscal </w:t>
        <w:br/>
        <w:t xml:space="preserve">2023 </w:t>
        <w:br/>
        <w:t xml:space="preserve">Amount </w:t>
        <w:br/>
        <w:t xml:space="preserve">(Clarke LLC in </w:t>
        <w:br/>
        <w:t xml:space="preserve">million) </w:t>
        <w:br/>
        <w:t xml:space="preserve">% of </w:t>
        <w:br/>
        <w:t xml:space="preserve">sale of </w:t>
        <w:br/>
        <w:t>produ</w:t>
        <w:br/>
        <w:t xml:space="preserve">Sawyer Group </w:t>
        <w:br/>
        <w:t xml:space="preserve">Amount </w:t>
        <w:br/>
        <w:t xml:space="preserve">(Silva, Bray and Ford in </w:t>
        <w:br/>
        <w:t xml:space="preserve">million) </w:t>
        <w:br/>
        <w:t xml:space="preserve">% of </w:t>
        <w:br/>
        <w:t xml:space="preserve">sale of </w:t>
        <w:br/>
        <w:t>produ</w:t>
        <w:br/>
        <w:t xml:space="preserve">Warner PLC </w:t>
        <w:br/>
        <w:t xml:space="preserve">Amount </w:t>
        <w:br/>
        <w:t xml:space="preserve">(Castillo LLC in </w:t>
        <w:br/>
        <w:t xml:space="preserve">million) </w:t>
        <w:br/>
        <w:t xml:space="preserve">% of </w:t>
        <w:br/>
        <w:t xml:space="preserve">sale of </w:t>
        <w:br/>
        <w:t>produ</w:t>
        <w:br/>
        <w:t xml:space="preserve">Holland Inc </w:t>
        <w:br/>
        <w:t xml:space="preserve">Amount </w:t>
        <w:br/>
        <w:t xml:space="preserve">(Anderson LLC in </w:t>
        <w:br/>
        <w:t xml:space="preserve">million) </w:t>
        <w:br/>
        <w:t xml:space="preserve">% of </w:t>
        <w:br/>
        <w:t xml:space="preserve">sale of </w:t>
        <w:br/>
        <w:t>produ</w:t>
        <w:br/>
        <w:t xml:space="preserve">Steele Group </w:t>
        <w:br/>
        <w:t xml:space="preserve">Domestic </w:t>
        <w:br/>
        <w:t xml:space="preserve">customers </w:t>
        <w:br/>
        <w:t xml:space="preserve">3,637.09 </w:t>
        <w:br/>
        <w:t xml:space="preserve">69.25% </w:t>
        <w:br/>
        <w:t xml:space="preserve">11,879.83 </w:t>
        <w:br/>
        <w:t xml:space="preserve">66.80% </w:t>
        <w:br/>
        <w:t xml:space="preserve">7,559.52 </w:t>
        <w:br/>
        <w:t xml:space="preserve">60.85% </w:t>
        <w:br/>
        <w:t xml:space="preserve">5,245.79 </w:t>
        <w:br/>
        <w:t xml:space="preserve">56.07% </w:t>
        <w:br/>
        <w:t>Custom</w:t>
        <w:br/>
        <w:t xml:space="preserve">ers </w:t>
        <w:br/>
        <w:t xml:space="preserve">outside </w:t>
        <w:br/>
        <w:t xml:space="preserve">78068 Mendoza Union, South Tylerland, OH 99208 </w:t>
        <w:br/>
        <w:t xml:space="preserve">1,615.13 </w:t>
        <w:br/>
        <w:t xml:space="preserve">30.75% </w:t>
        <w:br/>
        <w:t xml:space="preserve">5,903.64 </w:t>
        <w:br/>
        <w:t xml:space="preserve">33.20% </w:t>
        <w:br/>
        <w:t xml:space="preserve">4,863.35 </w:t>
        <w:br/>
        <w:t xml:space="preserve">39.15% </w:t>
        <w:br/>
        <w:t xml:space="preserve">4,110.36 </w:t>
        <w:br/>
        <w:t xml:space="preserve">43.93% </w:t>
        <w:br/>
        <w:t xml:space="preserve">Total* </w:t>
        <w:br/>
        <w:t xml:space="preserve">5,252.21 </w:t>
        <w:br/>
        <w:t xml:space="preserve">100.00% </w:t>
        <w:br/>
        <w:t xml:space="preserve">17,783.47 </w:t>
        <w:br/>
        <w:t xml:space="preserve">100.00% </w:t>
        <w:br/>
        <w:t xml:space="preserve">12,422.87 </w:t>
        <w:br/>
        <w:t xml:space="preserve">100.00% </w:t>
        <w:br/>
        <w:t xml:space="preserve">9,356.15 </w:t>
        <w:br/>
        <w:t xml:space="preserve">100.00% </w:t>
        <w:br/>
        <w:t xml:space="preserve"> </w:t>
        <w:br/>
        <w:t xml:space="preserve">* This does not include processing charges and other operating revenue. </w:t>
        <w:br/>
        <w:t xml:space="preserve"> </w:t>
        <w:br/>
        <w:t xml:space="preserve">Any change in law, regulations and policies in foreign jurisdictions where we sell our products or plan to sell our </w:t>
        <w:br/>
        <w:t xml:space="preserve">products may have an adverse impact on our business, financial condition, cash flows and results of operations. Further, </w:t>
        <w:br/>
        <w:t xml:space="preserve">foraying into the international markets would be subject to numerous political and economic factors, legal requirements </w:t>
        <w:br/>
        <w:t xml:space="preserve">such as obtaining necessary licenses or approvals, and other risks associated with doing business globally. Therefore, </w:t>
        <w:br/>
        <w:t xml:space="preserve">we may not be able to expand our export business, which could have an adverse effect on our business, financial </w:t>
        <w:br/>
        <w:t xml:space="preserve">condition and results of operations. For instance, we are required to have a valid importer-exporter code issued by the </w:t>
        <w:br/>
        <w:t xml:space="preserve">Director General of Foreign Trade, Shah, Mcintyre and Villanueva, for import and export </w:t>
        <w:br/>
        <w:t xml:space="preserve">related activities. While there have been no instances in the 1985-02-18 period ended 2009-06-07 and the Danielle Murphy </w:t>
        <w:br/>
        <w:t xml:space="preserve">1999-02-18, 2019-09-05 and 1970-12-27, we cannot assure you that in future we will receive the appropriate approvals, and/ or licenses </w:t>
        <w:br/>
        <w:t xml:space="preserve">to sell our products in foreign jurisdictions or continue sales to such foreign jurisdictions, which may impact our </w:t>
        <w:br/>
        <w:t xml:space="preserve">business, financial condition, cash flows and results of operations. Further, since we do not have established offices </w:t>
        <w:br/>
        <w:t xml:space="preserve">and dedicated sales presence overseas, we may from time-to-time commission agents to represent us and enable our </w:t>
        <w:br/>
        <w:t xml:space="preserve">participation in tenders issued in overseas jurisdictions. If we are unsuccessful in securing such export orders, our </w:t>
        <w:br/>
        <w:t xml:space="preserve">business, financial condition and results of operations may be adversely impacted. </w:t>
        <w:br/>
        <w:t xml:space="preserve">Further, 831 Vincent Overpass, New Thomas, NH 37092 have recently introduced tariff hikes on its imports from 52090 Taylor Walk Suite 762, Jeffreyport, PA 21051. Electrical components, </w:t>
        <w:br/>
        <w:t xml:space="preserve">classified under the Indian customs heading (“Ellis and Sons”) 1995-06-02, corresponding to the harmonised tariff schedule (“HTS”) </w:t>
        <w:br/>
        <w:t xml:space="preserve">8544 of 63631 Richards Center, Thomasmouth, HI 51269, are subject to a reciprocal tariff of 25% and an additional tariff of 25%, totalling a combined </w:t>
        <w:br/>
        <w:t xml:space="preserve">tariff rate of 50% when imported to 10822 Todd Crescent Apt. 379, Robertmouth, IN 14936. However, if a product is specifically covered under Section 232 </w:t>
        <w:br/>
      </w:r>
    </w:p>
    <w:p>
      <w:r>
        <w:br w:type="page"/>
      </w:r>
    </w:p>
    <w:p>
      <w:r>
        <w:t xml:space="preserve">2003-02-02 </w:t>
        <w:br/>
        <w:t xml:space="preserve"> </w:t>
        <w:br/>
        <w:t xml:space="preserve">of the Trade Expansion Act, 2000-10-14 (“Section 232 Tariffs”) then the tariff rates of 25% or 50%, as applicable, is </w:t>
        <w:br/>
        <w:t xml:space="preserve">applicable and such product would not be applicable to reciprocal and additional tariffs. The Section 232 Tariffs vary </w:t>
        <w:br/>
        <w:t xml:space="preserve">basis the nature of the end use of the product. The products of our Company in most cases would be classified under </w:t>
        <w:br/>
        <w:t xml:space="preserve">Henderson, Brown and Watson, which would be subject to a total tariff of 50% except for instance, in relation to products under HTS </w:t>
        <w:br/>
        <w:t xml:space="preserve">8,544.30.00 for specific electric components used in passenger vehicles or light trucks which is covered under the </w:t>
        <w:br/>
        <w:t xml:space="preserve">Section 232 Tariffs. This increase in tariff rate could lead to a reduction in demand and have a material adverse effect </w:t>
        <w:br/>
        <w:t xml:space="preserve">on our business, financial condition, results of operations, and cash flows. </w:t>
        <w:br/>
      </w:r>
    </w:p>
    <w:p>
      <w:r>
        <w:br w:type="page"/>
      </w:r>
    </w:p>
    <w:p>
      <w:r>
        <w:t xml:space="preserve">1998-01-06. </w:t>
        <w:br/>
        <w:t xml:space="preserve">We have experienced negative cash flows from operating activities in the past. Any negative cash flows in the future </w:t>
        <w:br/>
        <w:t xml:space="preserve">would adversely affect our cash flow requirements, which may adversely affect our ability to operate our business </w:t>
        <w:br/>
        <w:t xml:space="preserve">and implement our growth plans, thereby affecting our financial condition. </w:t>
        <w:br/>
        <w:t xml:space="preserve">The table below sets forth certain information relating to our cash flows from operating activities for 1992-11-09 </w:t>
        <w:br/>
        <w:t xml:space="preserve">indicated: </w:t>
        <w:br/>
        <w:t xml:space="preserve"> </w:t>
        <w:br/>
        <w:t xml:space="preserve">Particulars </w:t>
        <w:br/>
        <w:t>Three</w:t>
        <w:br/>
        <w:t>-</w:t>
        <w:br/>
        <w:t xml:space="preserve">month </w:t>
        <w:br/>
        <w:t>perio</w:t>
        <w:br/>
        <w:t xml:space="preserve">d </w:t>
        <w:br/>
        <w:t xml:space="preserve">ended </w:t>
        <w:br/>
        <w:t xml:space="preserve">June </w:t>
        <w:br/>
        <w:t xml:space="preserve">30, </w:t>
        <w:br/>
        <w:t xml:space="preserve">2013-11-14 </w:t>
        <w:br/>
        <w:t xml:space="preserve">Fiscal </w:t>
        <w:br/>
        <w:t xml:space="preserve">2005-05-12 </w:t>
        <w:br/>
        <w:t xml:space="preserve">Fiscal </w:t>
        <w:br/>
        <w:t xml:space="preserve">1985-10-23 </w:t>
        <w:br/>
        <w:t xml:space="preserve">Fiscal </w:t>
        <w:br/>
        <w:t xml:space="preserve">2023 </w:t>
        <w:br/>
        <w:t xml:space="preserve">Net cash flows from / (used in) operating </w:t>
        <w:br/>
        <w:t xml:space="preserve">activities </w:t>
        <w:br/>
        <w:t xml:space="preserve"> </w:t>
        <w:br/>
        <w:t xml:space="preserve"> </w:t>
        <w:br/>
        <w:t xml:space="preserve">We experienced negative cash flows in the Fiscal 2025, and 2024-07-29, due to increase in inventories and increase </w:t>
        <w:br/>
        <w:t xml:space="preserve">in trade receivables. Negative cash flows over extended periods, or significant negative cash flows in the short term, </w:t>
        <w:br/>
        <w:t xml:space="preserve">could materially impact our ability to operate our business and implement our growth plans. We may face a shortfall </w:t>
        <w:br/>
        <w:t xml:space="preserve">of capital in future as a result of negative cash flows and there can be no assurance that we will be able to raise adequate </w:t>
        <w:br/>
        <w:t xml:space="preserve">capital in future. As a result, our cash flows, business, future financial performance and results of operations could be </w:t>
        <w:br/>
        <w:t xml:space="preserve">materially and adversely affected. For further information, see “Management’s Discussion and Analysis of Financial </w:t>
        <w:br/>
        <w:t xml:space="preserve">Condition and Results of Operations – Cash Flows” on page 378. </w:t>
        <w:br/>
        <w:t xml:space="preserve">12. </w:t>
        <w:br/>
        <w:t xml:space="preserve">If we fail to comply with the applicable regulations and rules prescribed by Smith, Lopez and Johnson and the relevant </w:t>
        <w:br/>
        <w:t xml:space="preserve">statutory or regulatory bodies or fail to obtain, maintain or renew our statutory and regulatory licenses, permits and </w:t>
        <w:br/>
        <w:t xml:space="preserve">approvals required for our business, our results of operations and cash flows may be adversely affected. </w:t>
        <w:br/>
        <w:t xml:space="preserve">We are required to obtain and maintain a number of statutory and regulatory licenses, registrations, permits and </w:t>
        <w:br/>
        <w:t xml:space="preserve">approvals under central, state and local government rules in 2380 Butler Springs, South Michael, NV 97194, for carrying out our business and for our </w:t>
        <w:br/>
        <w:t xml:space="preserve">manufacturing facility, among other things, relating to occupational health and safety (including laws regulating the </w:t>
        <w:br/>
        <w:t xml:space="preserve">generation, storage, handling, use and transportation of waste materials, the emission and discharge of hazardous waste </w:t>
        <w:br/>
        <w:t xml:space="preserve">materials into soil, air or water, and the health and safety of employees) and mandatory certification requirements for </w:t>
        <w:br/>
        <w:t xml:space="preserve">our facilities and products. For further information on the nature of the material approvals and licenses required for our </w:t>
        <w:br/>
        <w:t xml:space="preserve">business and for information on the material approvals applied for, see “Government and Other Approvals” on page </w:t>
        <w:br/>
        <w:t xml:space="preserve">393. In addition, we will need to apply for renewal of certain approvals, licenses registrations and permits, which expire </w:t>
        <w:br/>
        <w:t xml:space="preserve">or seek new approvals, licenses, registrations and permits from time to time, as and when required in the ordinary </w:t>
        <w:br/>
        <w:t xml:space="preserve">course of our business. While there has not been any non-compliance during the 1988-10-11 period ended 1981-03-19, </w:t>
        <w:br/>
        <w:t xml:space="preserve">1977-06-11 or Fiscals 2025, 1975-03-28, and 1989-08-16, there can be no assurance that we will be in compliance at all times with such </w:t>
        <w:br/>
        <w:t xml:space="preserve">laws, regulations and the terms and conditions of any such consents or permits. If we violate or fail to comply </w:t>
        <w:br/>
        <w:t xml:space="preserve">adequately with these requirements, we could be fined or otherwise sanctioned by the relevant regulators. </w:t>
        <w:br/>
        <w:t xml:space="preserve">Our business and operations are subject to a number of approvals, licenses, registrations and permissions for </w:t>
        <w:br/>
        <w:t xml:space="preserve">construction and operation of our manufacturing facilities, warehouses, branch offices and regional offices, in addition </w:t>
        <w:br/>
        <w:t xml:space="preserve">to extensive government regulations for the protection of the environment and occupational health and safety. We have </w:t>
        <w:br/>
        <w:t xml:space="preserve">either made or are in the process of making an application or renewal for obtaining necessary approvals that are not in </w:t>
        <w:br/>
        <w:t xml:space="preserve">place or have expired. Further, we may also need to apply for additional approvals including the renewal of approvals </w:t>
        <w:br/>
        <w:t xml:space="preserve">which may expire from time to time, in the ordinary course of business. For instance, we have made applications for </w:t>
        <w:br/>
        <w:t xml:space="preserve">(i) certificate of enrolment issued by Miller and Sons under Lopez Group, Dougherty, Lamb and Everett, 1995-01-20 and (ii) for amending the name of our Company in certain </w:t>
        <w:br/>
        <w:t xml:space="preserve">regulatory approvals and licenses issued under our old name “Bryan, Lam and Hayes”. Additionally, we </w:t>
        <w:br/>
        <w:t xml:space="preserve">are yet to make an application for obtaining the building completion certificate issued in relation to Unit 2 by the Pune </w:t>
        <w:br/>
        <w:t xml:space="preserve">Rose, Martinez and Mckinney. For details, see “Government and Other Approvals – C. Material </w:t>
        <w:br/>
        <w:t xml:space="preserve">approvals in relation to our Company – IV. Material Approvals or renewal applied for but not received” on page 394 </w:t>
        <w:br/>
        <w:t xml:space="preserve">and “Government and Other Approvals – C. Material approvals in relation to our Company – IV. Material Approvals </w:t>
        <w:br/>
      </w:r>
    </w:p>
    <w:p>
      <w:r>
        <w:br w:type="page"/>
      </w:r>
    </w:p>
    <w:p>
      <w:r>
        <w:t xml:space="preserve">66 </w:t>
        <w:br/>
        <w:t xml:space="preserve"> </w:t>
        <w:br/>
        <w:t xml:space="preserve">for which fresh applications/renewal applications are yet to be made” on page 395. We cannot assure you that these </w:t>
        <w:br/>
        <w:t xml:space="preserve">approvals will be granted by the relevant authorities. In the event these approvals are not granted, we will have to make </w:t>
        <w:br/>
        <w:t xml:space="preserve">alternate manufacturing arrangements including increasing production in our other existing manufacturing facilities, </w:t>
        <w:br/>
        <w:t xml:space="preserve">which may adversely impact our business, financial condition, results of operations, cash flows and prospects. Further, </w:t>
        <w:br/>
        <w:t xml:space="preserve">we may be required to obtain a no objection certificate under the relevant state tenancy laws, when applying for a </w:t>
        <w:br/>
        <w:t xml:space="preserve">factory license. For further details of pending renewals and pending material approvals, see “Government and Other </w:t>
        <w:br/>
        <w:t xml:space="preserve">Approvals” on page 393. If we fail to retain, renew or receive any of such approvals, licenses, registrations, permissions </w:t>
        <w:br/>
        <w:t xml:space="preserve">or renewals, in a timely manner or at all, our business, financial condition, results of operations, cash flows and </w:t>
        <w:br/>
        <w:t xml:space="preserve">prospects may be adversely affected. </w:t>
        <w:br/>
        <w:t xml:space="preserve">Further, our government approvals and licenses are subject to certain conditions, some of which are onerous and require </w:t>
        <w:br/>
        <w:t xml:space="preserve">us to make substantial compliance-related expenditure. If we fail to comply or a regulator claim that we have </w:t>
        <w:br/>
      </w:r>
    </w:p>
    <w:p>
      <w:r>
        <w:br w:type="page"/>
      </w:r>
    </w:p>
    <w:p>
      <w:r>
        <w:t xml:space="preserve">67 </w:t>
        <w:br/>
        <w:t xml:space="preserve"> </w:t>
        <w:br/>
        <w:t xml:space="preserve">not complied with such conditions, our business, prospects, financial condition, results of operations and cash flows </w:t>
        <w:br/>
        <w:t xml:space="preserve">may be adversely affected. </w:t>
        <w:br/>
        <w:t xml:space="preserve">Considering the nature of raw materials involved in our business, there can be no assurance that other environmental </w:t>
        <w:br/>
        <w:t xml:space="preserve">and safety allegations will not be made against us in the future. The relevant regulator may order closure of our unit </w:t>
        <w:br/>
        <w:t xml:space="preserve">where it is found to be non-compliant with the applicable norm. In some instances, such a fine or sanction could </w:t>
        <w:br/>
        <w:t xml:space="preserve">adversely affect our business, reputation, financial condition, results of operations or cash flows. In addition, these </w:t>
        <w:br/>
        <w:t xml:space="preserve">requirements may become more stringent over time and there can be no assurance that we will not incur significant </w:t>
        <w:br/>
        <w:t xml:space="preserve">environmental costs or liabilities in the future. For details, see “Risk Factors – Our insurance coverage may not be </w:t>
        <w:br/>
        <w:t xml:space="preserve">sufficient or adequate to protect us against all material hazards, which may adversely affect our business, results of </w:t>
        <w:br/>
        <w:t xml:space="preserve">operations, financial condition and cash flows” on page 54. </w:t>
        <w:br/>
        <w:t xml:space="preserve">Further, we propose to utilise a portion of our Flowers, Kennedy and Valdez towards funding the capital expenditure requirements of </w:t>
        <w:br/>
        <w:t xml:space="preserve">our Company towards purchasing and setting up of new machinery for expansion at our Supa Facility which will </w:t>
        <w:br/>
        <w:t xml:space="preserve">require us to obtain necessary licenses and approvals. For details, see “Objects of the Offer –Funding the capital </w:t>
        <w:br/>
        <w:t xml:space="preserve">expenditure requirements of our Company towards: (i) purchasing and setting up of new machinery for expansion at </w:t>
        <w:br/>
        <w:t xml:space="preserve">our Brittany Evans (“Phase II Expansion at our Supa Facility”); and (ii) purchasing and setting up of new machinery </w:t>
        <w:br/>
        <w:t xml:space="preserve">at Unit 2 in 923 Marisa Highway Suite 049, Troymouth, IN 04018, 34785 Sarah Ramp, Davischester, SC 36326 in 6504 Bell Mission Apt. 376, Robertschester, VA 54790” on page 114. We may have to revise our funding requirements and </w:t>
        <w:br/>
        <w:t xml:space="preserve">deployment of Hunt, Brown and Estrada in case we are unable to obtain necessary licenses and approvals or due to other </w:t>
        <w:br/>
        <w:t xml:space="preserve">external factors, which may not be within the control of our management. </w:t>
        <w:br/>
        <w:t xml:space="preserve">Our inability to control the costs involved in complying with these and other relevant laws and regulations could have </w:t>
        <w:br/>
        <w:t xml:space="preserve">an adverse effect on our business, financial condition, results of operations and cash flows. </w:t>
        <w:br/>
        <w:t xml:space="preserve">13. </w:t>
        <w:br/>
        <w:t xml:space="preserve">We are unable to trace some of our historical corporate records including in relation to certain allotments made by </w:t>
        <w:br/>
        <w:t xml:space="preserve">our Company. Further, certain corporate records have errors, and certain corporate filings have been made with </w:t>
        <w:br/>
        <w:t xml:space="preserve">delays. We cannot assure you that no legal proceedings or regulatory actions will be initiated against our Company </w:t>
        <w:br/>
        <w:t xml:space="preserve">in the future in relation to these matters, which may impact our financial condition and reputation. </w:t>
        <w:br/>
        <w:t xml:space="preserve">Certain of our Henry PLC’s corporate records are not traceable as the relevant information was not available in the </w:t>
        <w:br/>
        <w:t xml:space="preserve">records maintained by our Company or on the online portal of Powers, Miller and Hunt (“Miller Group”) or </w:t>
        <w:br/>
        <w:t xml:space="preserve">in the physical records available at Walker, Walls and Ramirez. For instance, we are unable to trace the following: </w:t>
        <w:br/>
        <w:t xml:space="preserve">(i) </w:t>
        <w:br/>
        <w:t xml:space="preserve">2009-09-14 returns filed by the Brown-Davidson beginning from the Fiscal 1980 until 1976-04-17, except for the </w:t>
        <w:br/>
        <w:t xml:space="preserve">Fiscals ended 1994-04-28, and 2000-05-07; </w:t>
        <w:br/>
        <w:t xml:space="preserve">(ii) </w:t>
        <w:br/>
        <w:t xml:space="preserve">Financial statements, (a) between Morales and Sons until 1990-12-19, (b) between the Fiscal 1986 until </w:t>
        <w:br/>
        <w:t xml:space="preserve">1977-12-14, and (c) between the Fiscals 2011 and 2007-06-30; </w:t>
        <w:br/>
        <w:t xml:space="preserve">(iii) </w:t>
        <w:br/>
        <w:t xml:space="preserve">Form 1, Form 1A and Form 18 along with corresponding Unit 9297 Box 5170, DPO AE 89368 challans for incorporation of the Company </w:t>
        <w:br/>
        <w:t xml:space="preserve">dated 2021-04-27, application for reservation of name, and intimation of registered office respectively; </w:t>
        <w:br/>
        <w:t xml:space="preserve">(iv) </w:t>
        <w:br/>
        <w:t xml:space="preserve">Form 23, Forms 1A and 1B along with corresponding 67275 Adam Streets, Deborahport, NJ 38489 challans for change of name of the Company from </w:t>
        <w:br/>
        <w:t xml:space="preserve">“Bhandary Metal Extrusion Private Limited” to “KSH International Private Limited” dated 1981-01-24; </w:t>
        <w:br/>
        <w:t xml:space="preserve">(v) </w:t>
        <w:br/>
        <w:t xml:space="preserve">Form 32 along with corresponding challan for regularization as director in relation to Brittany West </w:t>
        <w:br/>
        <w:t xml:space="preserve">dated 1991-07-27; </w:t>
        <w:br/>
        <w:t xml:space="preserve">(vi) </w:t>
        <w:br/>
        <w:t xml:space="preserve">Form 32 along with corresponding 31059 Scott Land, East Anna, AZ 87736 challan for appointment as additional director in relation to Dominique Mcpherson dated 1980-12-10; </w:t>
        <w:br/>
        <w:t xml:space="preserve">(vii) </w:t>
        <w:br/>
        <w:t xml:space="preserve">Form 32 along with the corresponding 2437 Arellano Trail, East Michaelmouth, GA 81586 challan for regularisation as director in relation to Kerri Kelley dated 2010-05-18; </w:t>
        <w:br/>
        <w:t xml:space="preserve">(viii) </w:t>
        <w:br/>
        <w:t xml:space="preserve">Copies or counter folios of share certificates issued to the shareholders; and </w:t>
        <w:br/>
        <w:t xml:space="preserve">(ix) </w:t>
        <w:br/>
        <w:t xml:space="preserve">Share transfer forms for all secondary transactions of equity shares, including the following transfers </w:t>
        <w:br/>
        <w:t xml:space="preserve">involving Cooper, Lucas and Nguyen: </w:t>
        <w:br/>
        <w:t xml:space="preserve"> </w:t>
        <w:br/>
        <w:t xml:space="preserve"> </w:t>
        <w:br/>
        <w:t xml:space="preserve"> </w:t>
        <w:br/>
        <w:t xml:space="preserve"> </w:t>
        <w:br/>
      </w:r>
    </w:p>
    <w:p>
      <w:r>
        <w:br w:type="page"/>
      </w:r>
    </w:p>
    <w:p>
      <w:r>
        <w:t xml:space="preserve">68 </w:t>
        <w:br/>
        <w:t xml:space="preserve"> </w:t>
        <w:br/>
        <w:t xml:space="preserve">S. </w:t>
        <w:br/>
        <w:t xml:space="preserve">No. </w:t>
        <w:br/>
        <w:t xml:space="preserve">Date </w:t>
        <w:br/>
        <w:t xml:space="preserve">Details </w:t>
        <w:br/>
        <w:t xml:space="preserve">Nature of document </w:t>
        <w:br/>
        <w:t xml:space="preserve"> </w:t>
        <w:br/>
      </w:r>
    </w:p>
    <w:p>
      <w:r>
        <w:br w:type="page"/>
      </w:r>
    </w:p>
    <w:p>
      <w:r>
        <w:t xml:space="preserve">69 </w:t>
        <w:br/>
        <w:t xml:space="preserve"> </w:t>
        <w:br/>
        <w:t>1</w:t>
        <w:br/>
        <w:t xml:space="preserve">. </w:t>
        <w:br/>
        <w:t xml:space="preserve">1984-07-25 </w:t>
        <w:br/>
        <w:t xml:space="preserve">Initial subscription to the </w:t>
        <w:br/>
        <w:t xml:space="preserve">Beltran Inc and further issue </w:t>
        <w:br/>
        <w:t xml:space="preserve">The financial statements of 2006-07-21 and 2021-04-24. </w:t>
        <w:br/>
        <w:t>2</w:t>
        <w:br/>
        <w:t xml:space="preserve">. </w:t>
        <w:br/>
        <w:t>1981-09-09</w:t>
        <w:br/>
        <w:t xml:space="preserve"> </w:t>
        <w:br/>
        <w:t xml:space="preserve">1989-03-07, </w:t>
        <w:br/>
        <w:t xml:space="preserve">1983-01-13 </w:t>
        <w:br/>
        <w:t xml:space="preserve">Secondary transfer of </w:t>
        <w:br/>
        <w:t xml:space="preserve">equity shares </w:t>
        <w:br/>
        <w:t xml:space="preserve">Form 7B for transfer of shares to Rice Ltd from </w:t>
        <w:br/>
        <w:t xml:space="preserve">Hudson, Garcia and Lane and Phyllis Austin. </w:t>
        <w:br/>
        <w:t>3</w:t>
        <w:br/>
        <w:t xml:space="preserve">. </w:t>
        <w:br/>
        <w:t xml:space="preserve">1980-12-04 </w:t>
        <w:br/>
        <w:t xml:space="preserve">Secondary transfer of </w:t>
        <w:br/>
        <w:t xml:space="preserve">equity shares </w:t>
        <w:br/>
        <w:t xml:space="preserve">Form 7B for transfer of shares to Rush-Bailey from </w:t>
        <w:br/>
        <w:t xml:space="preserve">Charles Francis and Lopez LLC. </w:t>
        <w:br/>
        <w:t>4</w:t>
        <w:br/>
        <w:t xml:space="preserve">. </w:t>
        <w:br/>
        <w:t xml:space="preserve">2009-12-26, </w:t>
        <w:br/>
        <w:t xml:space="preserve">1983-12-24 </w:t>
        <w:br/>
        <w:t xml:space="preserve">Secondary transfer of </w:t>
        <w:br/>
        <w:t xml:space="preserve">equity shares </w:t>
        <w:br/>
        <w:t xml:space="preserve">Form 7B for transfer of shares to Patton PLC from </w:t>
        <w:br/>
        <w:t xml:space="preserve">Jayaram Shetty. </w:t>
        <w:br/>
        <w:t>5</w:t>
        <w:br/>
        <w:t xml:space="preserve">. </w:t>
        <w:br/>
        <w:t xml:space="preserve">1970-09-13 </w:t>
        <w:br/>
        <w:t xml:space="preserve">Secondary transfer of </w:t>
        <w:br/>
        <w:t xml:space="preserve">equity shares </w:t>
        <w:br/>
        <w:t xml:space="preserve">Form 7B for transfer of shares by Jones Ltd to </w:t>
        <w:br/>
        <w:t xml:space="preserve">Julie Kerr. </w:t>
        <w:br/>
        <w:t>6</w:t>
        <w:br/>
        <w:t xml:space="preserve">. </w:t>
        <w:br/>
        <w:t xml:space="preserve">2004-12-10, </w:t>
        <w:br/>
        <w:t xml:space="preserve">2014-11-25 </w:t>
        <w:br/>
        <w:t xml:space="preserve">Further issue of equity </w:t>
        <w:br/>
        <w:t xml:space="preserve">shares </w:t>
        <w:br/>
        <w:t xml:space="preserve">Mr. Craig Johnson for the Form 2 in relation to the said allotment </w:t>
        <w:br/>
        <w:t>7</w:t>
        <w:br/>
        <w:t xml:space="preserve">. </w:t>
        <w:br/>
        <w:t xml:space="preserve">2022-09-20, </w:t>
        <w:br/>
        <w:t xml:space="preserve">1971-04-13 </w:t>
        <w:br/>
        <w:t xml:space="preserve">Secondary transfer of </w:t>
        <w:br/>
        <w:t xml:space="preserve">equity shares </w:t>
        <w:br/>
        <w:t xml:space="preserve">Form 7B for transfer of shares to Mrs. Pamela Rodriguez </w:t>
        <w:br/>
        <w:t xml:space="preserve">from Elizabeth Clark. </w:t>
        <w:br/>
        <w:t>8</w:t>
        <w:br/>
        <w:t xml:space="preserve">. </w:t>
        <w:br/>
        <w:t xml:space="preserve">1979-09-09, </w:t>
        <w:br/>
        <w:t xml:space="preserve">2017-03-30 </w:t>
        <w:br/>
        <w:t xml:space="preserve">Secondary transfer of </w:t>
        <w:br/>
        <w:t xml:space="preserve">equity shares </w:t>
        <w:br/>
        <w:t xml:space="preserve">Form 7B for transfer of shares to Robert Walker </w:t>
        <w:br/>
        <w:t xml:space="preserve">from Gloria Mckinney </w:t>
        <w:br/>
        <w:t>9</w:t>
        <w:br/>
        <w:t xml:space="preserve">. </w:t>
        <w:br/>
        <w:t>2005-08-07</w:t>
        <w:br/>
        <w:t xml:space="preserve"> </w:t>
        <w:br/>
        <w:t xml:space="preserve">28, </w:t>
        <w:br/>
        <w:t xml:space="preserve">2010-09-02 </w:t>
        <w:br/>
        <w:t xml:space="preserve">Secondary transfer of </w:t>
        <w:br/>
        <w:t xml:space="preserve">equity shares </w:t>
        <w:br/>
        <w:t xml:space="preserve">Form 7B for transfer of shares to Cox, Montoya and Preston </w:t>
        <w:br/>
        <w:t xml:space="preserve">from Mendoza LLC and Wilson and Sons </w:t>
        <w:br/>
        <w:t>10</w:t>
        <w:br/>
        <w:t xml:space="preserve">. </w:t>
        <w:br/>
        <w:t>2001-05-03</w:t>
        <w:br/>
        <w:t xml:space="preserve"> </w:t>
        <w:br/>
        <w:t xml:space="preserve">28, </w:t>
        <w:br/>
        <w:t xml:space="preserve">1998-05-27 </w:t>
        <w:br/>
        <w:t xml:space="preserve">Secondary transfer of </w:t>
        <w:br/>
        <w:t xml:space="preserve">equity shares </w:t>
        <w:br/>
        <w:t xml:space="preserve">Form 7B for transfer of shares to Michaela Lang from </w:t>
        <w:br/>
        <w:t xml:space="preserve">Tiffany Mathis. </w:t>
        <w:br/>
        <w:t>11</w:t>
        <w:br/>
        <w:t xml:space="preserve">. </w:t>
        <w:br/>
        <w:t>2011-09-29</w:t>
        <w:br/>
        <w:t xml:space="preserve"> </w:t>
        <w:br/>
        <w:t xml:space="preserve">28, </w:t>
        <w:br/>
        <w:t xml:space="preserve">2008-01-07 </w:t>
        <w:br/>
        <w:t xml:space="preserve">Secondary transfer of </w:t>
        <w:br/>
        <w:t xml:space="preserve">equity shares </w:t>
        <w:br/>
        <w:t xml:space="preserve">Form 7B for transfer of shares to Sandra Pope </w:t>
        <w:br/>
        <w:t xml:space="preserve">from Garcia and Sons and Jenkins-Mccall </w:t>
        <w:br/>
        <w:t>12</w:t>
        <w:br/>
        <w:t xml:space="preserve">. </w:t>
        <w:br/>
        <w:t>2022-12-31</w:t>
        <w:br/>
        <w:t xml:space="preserve"> </w:t>
        <w:br/>
        <w:t xml:space="preserve">1995-05-21, </w:t>
        <w:br/>
        <w:t xml:space="preserve">1989-02-24 </w:t>
        <w:br/>
        <w:t xml:space="preserve">Secondary transfer of </w:t>
        <w:br/>
        <w:t xml:space="preserve">equity shares </w:t>
        <w:br/>
        <w:t xml:space="preserve">Form 7B for transfer of shares to Charles Taylor by Heidi Ferguson. </w:t>
        <w:br/>
        <w:t>13</w:t>
        <w:br/>
        <w:t xml:space="preserve">. </w:t>
        <w:br/>
        <w:t>2016-08-23</w:t>
        <w:br/>
        <w:t xml:space="preserve"> </w:t>
        <w:br/>
        <w:t xml:space="preserve">1988-06-22, </w:t>
        <w:br/>
        <w:t xml:space="preserve">1990-06-28 </w:t>
        <w:br/>
        <w:t xml:space="preserve">Secondary transfer of </w:t>
        <w:br/>
        <w:t xml:space="preserve">equity shares </w:t>
        <w:br/>
        <w:t xml:space="preserve">Form 7B for transfer of shares to Samantha Cohen by Paul Stephens. </w:t>
        <w:br/>
        <w:t>14</w:t>
        <w:br/>
        <w:t xml:space="preserve">. </w:t>
        <w:br/>
        <w:t xml:space="preserve">2022-01-14 </w:t>
        <w:br/>
        <w:t xml:space="preserve">Secondary transfer of </w:t>
        <w:br/>
        <w:t xml:space="preserve">equity shares </w:t>
        <w:br/>
        <w:t xml:space="preserve">Form 7B for transfer of shares by Miranda and Sons to </w:t>
        <w:br/>
        <w:t xml:space="preserve">Mark Jones and Tina Williams. </w:t>
        <w:br/>
        <w:t>15</w:t>
        <w:br/>
        <w:t xml:space="preserve">. </w:t>
        <w:br/>
        <w:t xml:space="preserve">1998-07-20 </w:t>
        <w:br/>
        <w:t xml:space="preserve">Initial subscription to the </w:t>
        <w:br/>
        <w:t xml:space="preserve">Brown LLC and further issue </w:t>
        <w:br/>
        <w:t xml:space="preserve">The financial statements of 1994-04-27 and 1979-03-22. </w:t>
        <w:br/>
        <w:t>16</w:t>
        <w:br/>
        <w:t xml:space="preserve">. </w:t>
        <w:br/>
        <w:t xml:space="preserve">2017-03-06, </w:t>
        <w:br/>
        <w:t xml:space="preserve">2001-05-17 </w:t>
        <w:br/>
        <w:t xml:space="preserve">Conversion of unsecured </w:t>
        <w:br/>
        <w:t xml:space="preserve">loan </w:t>
        <w:br/>
        <w:t xml:space="preserve">Valuation report of an independent chartered accountant </w:t>
        <w:br/>
        <w:t xml:space="preserve">for conversion of loan into equity shares. </w:t>
        <w:br/>
        <w:t>17</w:t>
        <w:br/>
        <w:t xml:space="preserve">. </w:t>
        <w:br/>
        <w:t xml:space="preserve">1991-10-03, 1979-12-12 </w:t>
        <w:br/>
        <w:t xml:space="preserve">Secondary transfer of </w:t>
        <w:br/>
        <w:t xml:space="preserve">equity shares </w:t>
        <w:br/>
        <w:t xml:space="preserve">Form SH- 4 for transfer of shares by Smith, Green and Perkins, </w:t>
        <w:br/>
        <w:t xml:space="preserve">Barbara Hunt and Lori Alvarez to Lauren Cunningham. </w:t>
        <w:br/>
        <w:t>18</w:t>
        <w:br/>
        <w:t xml:space="preserve">. </w:t>
        <w:br/>
        <w:t xml:space="preserve">2010-10-03 – 1974-07-17 </w:t>
        <w:br/>
        <w:t xml:space="preserve"> </w:t>
        <w:br/>
        <w:t xml:space="preserve">Copy or counter folios of share certificates issued to </w:t>
        <w:br/>
        <w:t xml:space="preserve">the shareholders. </w:t>
        <w:br/>
        <w:t xml:space="preserve"> </w:t>
        <w:br/>
        <w:t xml:space="preserve"> </w:t>
        <w:br/>
        <w:t xml:space="preserve">For further details, see “Capital Structure – Details of history of shareholding and share capital of our Promoters and </w:t>
        <w:br/>
        <w:t xml:space="preserve">members of Sanchez, Wilson and Ramirez in our Company” and “Capital Structure – Equity Share capital history of our </w:t>
        <w:br/>
        <w:t xml:space="preserve">Company” on pages 91 and 2016-10-22, respectively. </w:t>
        <w:br/>
        <w:t xml:space="preserve">We have been unable to trace these documents despite commissioning a detailed search at Butler-Vasquez, </w:t>
        <w:br/>
      </w:r>
    </w:p>
    <w:p>
      <w:r>
        <w:br w:type="page"/>
      </w:r>
    </w:p>
    <w:p>
      <w:r>
        <w:t xml:space="preserve">70 </w:t>
        <w:br/>
        <w:t xml:space="preserve"> </w:t>
        <w:br/>
        <w:t xml:space="preserve">through an independent practicing company secretary, Madden, Figueroa and Stafford (“Practicing Company Secretary”), to trace </w:t>
        <w:br/>
        <w:t xml:space="preserve">records and filings available with Foster Ltd and reliance has been placed on the certificate dated 1978-02-11, 1975-10-14, issued by Garcia, Kim and Barrett Secretary. We have also intimated Lutz Group by way of </w:t>
        <w:br/>
        <w:t xml:space="preserve">our letter dated 1982-03-15, regarding the missing corporate records. </w:t>
        <w:br/>
        <w:t xml:space="preserve">In addition, 1,000, equity shares of face value of ₹100 each allotted to Karen Shelton, 500 equity shares of </w:t>
        <w:br/>
        <w:t xml:space="preserve">face value of ₹100 each allotted to Lopez-Jones, Courtney Russell and Noah Mcdaniel, respectively, </w:t>
        <w:br/>
        <w:t xml:space="preserve">pursuant to the initial subscription to the MoA dated 1989-04-20, were subsequently taken on record by the Williams, Murphy and Wilson </w:t>
        <w:br/>
        <w:t xml:space="preserve">by way of a resolution dated 2007-11-30. For further details, see “Capital Structure – Notes to Capital Structure </w:t>
        <w:br/>
        <w:t xml:space="preserve">– Equity Share capital history of our Company”. </w:t>
        <w:br/>
        <w:t xml:space="preserve">Further, some of our form filings made with the 3836 Kathleen Island Apt. 718, South Kathryn, VT 38285 have been delayed in the 1982-04-23 period ended 1977-04-21, </w:t>
        <w:br/>
        <w:t xml:space="preserve">2015-11-01, and Fiscals 2025, 1999-12-02 and 1982-08-07. We have made such filings subsequent to the statutory period with a late filing </w:t>
        <w:br/>
        <w:t xml:space="preserve">fee. We cannot assure you that our future filings shall be made within the time permitted under the applicable laws, </w:t>
        <w:br/>
        <w:t xml:space="preserve">and that any legal proceedings or regulatory actions will be initiated against our Company in the future. </w:t>
        <w:br/>
        <w:t xml:space="preserve">Although no regulatory action/ litigation is pending against us in relation to (i) untraceable secretarial and other </w:t>
        <w:br/>
        <w:t xml:space="preserve">corporate records and documents, (ii) errors in our corporate filings, and (iii) delays in our corporate filings, we cannot </w:t>
        <w:br/>
        <w:t xml:space="preserve">assure you that we will not be subject to penalties imposed by regulatory authorities in this respect. </w:t>
        <w:br/>
        <w:t xml:space="preserve"> </w:t>
        <w:br/>
        <w:t xml:space="preserve"> </w:t>
        <w:br/>
        <w:t xml:space="preserve">14. </w:t>
        <w:br/>
        <w:t xml:space="preserve">Certain sections of this Red Herring Prospectus contain information from York, Wells and Wolfe which has been </w:t>
        <w:br/>
        <w:t xml:space="preserve">commissioned by us and any reliance on such information for making an investment decision in this Offer is subject </w:t>
        <w:br/>
        <w:t xml:space="preserve">to inherent risks. </w:t>
        <w:br/>
      </w:r>
    </w:p>
    <w:p>
      <w:r>
        <w:br w:type="page"/>
      </w:r>
    </w:p>
    <w:p>
      <w:r>
        <w:t xml:space="preserve">71 </w:t>
        <w:br/>
        <w:t xml:space="preserve"> </w:t>
        <w:br/>
        <w:t xml:space="preserve">Certain sections of this Red Herring Prospectus include information based on, or derived from, the CARE Report or </w:t>
        <w:br/>
        <w:t xml:space="preserve">extracts of the CARE Report prepared by Archer-Dixon (“CareEdge Research”). All </w:t>
        <w:br/>
        <w:t xml:space="preserve">such information in this Red Herring Prospectus indicates the CARE Report as its source. The CARE Report is </w:t>
        <w:br/>
        <w:t xml:space="preserve">available on the website of our Company at Alvarez-Morrison </w:t>
        <w:br/>
        <w:t xml:space="preserve">The CARE Report is commissioned and paid for by our Company pursuant to an engagement letter dated 1997-03-27, for the purpose of confirming our understanding of the industry in connection with this Offer. While Nelson, Clarke and Schneider is not related to our Company, our Promoters or our Directors, our Company has subscribed to and paid for </w:t>
        <w:br/>
        <w:t xml:space="preserve">certain research and reports from Porter, Hubbard and Miranda business process services division. </w:t>
        <w:br/>
        <w:t xml:space="preserve">Industry sources and publications are prepared based on information as of specific dates and may no longer be current </w:t>
        <w:br/>
        <w:t xml:space="preserve">or reflect current trends. Industry sources and publications may also base their information on estimates, projections, </w:t>
        <w:br/>
        <w:t xml:space="preserve">forecasts and assumptions that may prove to be incorrect. Further, the CARE Report is not a recommendation to invest </w:t>
        <w:br/>
        <w:t xml:space="preserve">/ disinvest in any company covered in the CARE Report. Accordingly, prospective investors should not place undue </w:t>
        <w:br/>
        <w:t xml:space="preserve">reliance on or base their investment decision solely on this information. </w:t>
        <w:br/>
        <w:t xml:space="preserve">In view of the foregoing, you may not be able to seek legal recourse for any losses resulting from undertaking any </w:t>
        <w:br/>
        <w:t xml:space="preserve">investment in this Offer pursuant to reliance on the information in this Hall Group based on, or derived </w:t>
        <w:br/>
        <w:t xml:space="preserve">from, the CARE Report. You should consult your own advisors and undertake an independent assessment of </w:t>
        <w:br/>
        <w:t xml:space="preserve">information in this Larson Group based on, or derived from, the CARE Report before making any investment </w:t>
        <w:br/>
        <w:t xml:space="preserve">decision regarding this Offer. See “Industry Overview” on page 137. For the disclaimer associated with the CARE </w:t>
        <w:br/>
        <w:t xml:space="preserve">Report, see “Certain Conventions, Use of Financial Information and Market Data and Currency of Presentation – </w:t>
        <w:br/>
        <w:t xml:space="preserve">Industry and Market Data” on page 16. </w:t>
        <w:br/>
        <w:t xml:space="preserve">15. </w:t>
        <w:br/>
        <w:t xml:space="preserve">We operate in a competitive business environment. Failure to compete effectively against our competitors and new </w:t>
        <w:br/>
        <w:t xml:space="preserve">entrants to the industry may adversely affect our business, financial condition and results of operations. </w:t>
        <w:br/>
        <w:t xml:space="preserve">We face significant competition in our business from other manufacturers and suppliers of winding wires. Our </w:t>
        <w:br/>
        <w:t xml:space="preserve">competitors may possess wider product ranges, larger sales teams, greater intellectual property resources and broader </w:t>
        <w:br/>
        <w:t xml:space="preserve">appeal across various divisions. The magnet winding wire sector is characterized by intense competition, driven by the </w:t>
        <w:br/>
        <w:t xml:space="preserve">presence of established global and regional players, upcoming manufacturers, and a significant unorganized sector. </w:t>
        <w:br/>
        <w:t xml:space="preserve">(Source: CARE Report). For further details on our competitors, see “Our Business – Competition”, “Basis for Offer </w:t>
        <w:br/>
        <w:t xml:space="preserve">Price” and “Industry Overview” on pages 234, 124 and 137, respectively. Our failure to compete effectively with </w:t>
        <w:br/>
        <w:t xml:space="preserve">respect to any of these or other factors could have an adverse effect on our business, prospects, financial condition or </w:t>
        <w:br/>
        <w:t xml:space="preserve">operating results. Further, the unorganized sector, with its low-cost manufacturing and minimal regulatory compliance, </w:t>
        <w:br/>
        <w:t xml:space="preserve">poses a significant challenge. This high level of competition often leads to price wars, reducing profit margins for all </w:t>
        <w:br/>
        <w:t xml:space="preserve">industry participants (Source: CARE Report). We cannot assure you that we will be able to compete successfully </w:t>
        <w:br/>
        <w:t xml:space="preserve">against our competitors as well as new entrants in our industry in the future. Accordingly, our business, financial </w:t>
        <w:br/>
        <w:t xml:space="preserve">condition, results of operations and prospects would be adversely and materially affected if we are unable to maintain </w:t>
        <w:br/>
        <w:t xml:space="preserve">our competitive advantage and compete successfully against our competitors and any new entrants in the industry. </w:t>
        <w:br/>
        <w:t xml:space="preserve">While we work consistently to offset pricing pressures, produce new products, improve our services or enhance our </w:t>
        <w:br/>
        <w:t xml:space="preserve">production efficiency to reduce costs, such efforts may not be successful. Also, as we plan to expand our offerings to </w:t>
        <w:br/>
        <w:t xml:space="preserve">launch new products, we may face strong competition from other players in the same markets. Many of our existing </w:t>
        <w:br/>
        <w:t xml:space="preserve">and potential competitors may seek to equal or exceed us in terms of their financial, production, sales, marketing and </w:t>
        <w:br/>
        <w:t xml:space="preserve">other resources. If we fail to compete effectively in the future, our business and prospects could be materially and </w:t>
        <w:br/>
        <w:t xml:space="preserve">adversely affected. </w:t>
        <w:br/>
        <w:t xml:space="preserve">16. </w:t>
        <w:br/>
        <w:t xml:space="preserve">Any failure in arranging adequate working capital for our operations or furnishing performance bank guarantees </w:t>
        <w:br/>
        <w:t xml:space="preserve">may adversely affect our business, results of operations, cash flows and financial condition. </w:t>
        <w:br/>
        <w:t xml:space="preserve">We require significant working capital to finance the purchase of raw materials and for the manufacture and other </w:t>
        <w:br/>
        <w:t xml:space="preserve">related expenses before payment is received from customers. We currently meet our working capital requirements </w:t>
        <w:br/>
        <w:t xml:space="preserve">through a mix of internal accruals and working capital facilities from banks. </w:t>
        <w:br/>
        <w:t xml:space="preserve">Set out below are our working capital days for the 1993-01-16 period ended 1983-07-20, and the Fiscals 2025, 1994-10-02 </w:t>
        <w:br/>
        <w:t xml:space="preserve">and 2023: </w:t>
        <w:br/>
        <w:t xml:space="preserve"> </w:t>
        <w:br/>
        <w:t xml:space="preserve">Particulars </w:t>
        <w:br/>
        <w:t>Three-</w:t>
        <w:br/>
        <w:t>mont</w:t>
        <w:br/>
        <w:t xml:space="preserve">h </w:t>
        <w:br/>
        <w:t>perio</w:t>
        <w:br/>
        <w:t xml:space="preserve">d </w:t>
        <w:br/>
        <w:t>ende</w:t>
        <w:br/>
        <w:t xml:space="preserve">Fiscal </w:t>
        <w:br/>
        <w:t xml:space="preserve">1974-05-28 </w:t>
        <w:br/>
        <w:t xml:space="preserve">Fiscal </w:t>
        <w:br/>
        <w:t xml:space="preserve">1981-06-25 </w:t>
        <w:br/>
        <w:t xml:space="preserve">Fiscal </w:t>
        <w:br/>
        <w:t xml:space="preserve">2023 </w:t>
        <w:br/>
      </w:r>
    </w:p>
    <w:p>
      <w:r>
        <w:br w:type="page"/>
      </w:r>
    </w:p>
    <w:p>
      <w:r>
        <w:t xml:space="preserve">1992-04-01 </w:t>
        <w:br/>
        <w:t xml:space="preserve"> </w:t>
        <w:br/>
        <w:t xml:space="preserve">d </w:t>
        <w:br/>
        <w:t xml:space="preserve">2016-03-21, </w:t>
        <w:br/>
        <w:t xml:space="preserve">2011-02-22 </w:t>
        <w:br/>
        <w:t>Net</w:t>
        <w:br/>
        <w:t xml:space="preserve"> </w:t>
        <w:br/>
        <w:t>Wor</w:t>
        <w:br/>
        <w:t xml:space="preserve">king Capital </w:t>
        <w:br/>
        <w:t xml:space="preserve">Days(1) </w:t>
        <w:br/>
        <w:t xml:space="preserve">Number of 1996-01-15 </w:t>
        <w:br/>
        <w:t xml:space="preserve">72 </w:t>
        <w:br/>
        <w:t xml:space="preserve">80 </w:t>
        <w:br/>
        <w:t xml:space="preserve">76 </w:t>
        <w:br/>
        <w:t xml:space="preserve">73 </w:t>
        <w:br/>
        <w:t xml:space="preserve"> </w:t>
        <w:br/>
        <w:t xml:space="preserve">(1) Working capital days is computed as Inventory 1982-03-10 plus Jimenez Inc receivable 2026-07-03 minus Dunlap, Johnson and Rojas payable 1985-09-16. Inventory 2003-11-03 is calculated as </w:t>
        <w:br/>
        <w:t xml:space="preserve">Inventory divided by Cost of goods sold (Rodriguez-King) from operations multiplied by 365 or 91days. Trade receivables 1980-01-12 is calculated as Trade </w:t>
        <w:br/>
      </w:r>
    </w:p>
    <w:p>
      <w:r>
        <w:br w:type="page"/>
      </w:r>
    </w:p>
    <w:p>
      <w:r>
        <w:t xml:space="preserve">73 </w:t>
        <w:br/>
        <w:t xml:space="preserve"> </w:t>
        <w:br/>
        <w:t xml:space="preserve">receivables divided by revenue from operations multiplied by 1979-02-25. Trade payable 1999-04-23 is calculated as Trade payable divided by </w:t>
        <w:br/>
        <w:t xml:space="preserve">Dyer-Martin multiplied by 2014-11-15. </w:t>
        <w:br/>
        <w:t xml:space="preserve"> </w:t>
        <w:br/>
        <w:t xml:space="preserve">Any delays in our billing and settlement process, or delays or defaults in our trade receivables or an increase in </w:t>
        <w:br/>
        <w:t xml:space="preserve">inventory and work in progress and/or accelerated payments to suppliers or limited advance payments on government </w:t>
        <w:br/>
        <w:t xml:space="preserve">contracts could adversely affect our working capital, lower our cash flows and materially increase the amount of </w:t>
        <w:br/>
        <w:t xml:space="preserve">working capital requirements. The actual amount and timing of our future working capital requirements may differ </w:t>
        <w:br/>
        <w:t xml:space="preserve">from estimates as a result of, among other factors, unforeseen events beyond our control, unforeseen delays or cost </w:t>
        <w:br/>
        <w:t xml:space="preserve">overruns, unanticipated expenses, regulatory changes, economic conditions, technological changes, revisions to </w:t>
        <w:br/>
        <w:t xml:space="preserve">business terms by customers and suppliers and additional market developments and new opportunities in the industries </w:t>
        <w:br/>
        <w:t xml:space="preserve">we operate. Further, our future success depends on our ability to continue to secure and successfully manage sufficient </w:t>
        <w:br/>
        <w:t xml:space="preserve">amounts of working capital. Our inability to obtain adequate amount of working capital at such terms which are </w:t>
        <w:br/>
        <w:t xml:space="preserve">favourable to us and in a timely manner or at all may also have an adverse effect on our results of operations, cash </w:t>
        <w:br/>
        <w:t xml:space="preserve">flows and financial condition. Continued increases in our working capital requirements may have an adverse effect on </w:t>
        <w:br/>
        <w:t xml:space="preserve">our results of operations, cash flows and financial condition. While there have not been any instances where our </w:t>
        <w:br/>
        <w:t xml:space="preserve">Company had failed to arrange adequate working capital for our operations or had failed to furnish performance bank </w:t>
        <w:br/>
        <w:t xml:space="preserve">guarantees which had adversely affected the business, results of operations, cash flows and financial condition of our </w:t>
        <w:br/>
        <w:t xml:space="preserve">Company, there can be no assurance that such instances will not occur in future. </w:t>
        <w:br/>
        <w:t xml:space="preserve">17. </w:t>
        <w:br/>
        <w:t xml:space="preserve">Our Company is involved in certain outstanding legal and regulatory proceedings. Any adverse decision in such </w:t>
        <w:br/>
        <w:t xml:space="preserve">proceedings may have an adverse effect on our business, financial condition, cash flows and results of operations. </w:t>
        <w:br/>
        <w:t xml:space="preserve">There are outstanding legal and regulatory proceedings involving our Company which are pending at different levels </w:t>
        <w:br/>
        <w:t xml:space="preserve">of adjudication before various courts, tribunals and other authorities. Such proceedings could divert the management’s </w:t>
        <w:br/>
        <w:t xml:space="preserve">time and attention and consume financial resources in their defence or prosecution. The amounts claimed in these </w:t>
        <w:br/>
        <w:t xml:space="preserve">proceedings have been disclosed to the extent that such amounts are ascertainable and quantifiable and include amounts </w:t>
        <w:br/>
        <w:t xml:space="preserve">claimed jointly and severally, as applicable. Any unfavourable decision in connection with such proceedings, </w:t>
        <w:br/>
        <w:t xml:space="preserve">individually or in the aggregate, could adversely affect our reputation, continuity of our management, business, cash </w:t>
        <w:br/>
        <w:t xml:space="preserve">flows, financial condition and results of operations. The summary of such outstanding material legal and regulatory </w:t>
        <w:br/>
        <w:t xml:space="preserve">proceedings as on the date of this Red Herring Prospectus is set out below: </w:t>
        <w:br/>
        <w:t xml:space="preserve"> </w:t>
        <w:br/>
        <w:t xml:space="preserve">Name of </w:t>
        <w:br/>
        <w:t xml:space="preserve">entity </w:t>
        <w:br/>
        <w:t>Johnson PLC</w:t>
        <w:br/>
        <w:t xml:space="preserve">l </w:t>
        <w:br/>
        <w:t>proceedin</w:t>
        <w:br/>
        <w:t xml:space="preserve">gs </w:t>
        <w:br/>
        <w:t xml:space="preserve">Tax </w:t>
        <w:br/>
        <w:t>proceedin</w:t>
        <w:br/>
        <w:t xml:space="preserve">gs </w:t>
        <w:br/>
        <w:t xml:space="preserve">Statutory or </w:t>
        <w:br/>
        <w:t xml:space="preserve">regulatory </w:t>
        <w:br/>
        <w:t xml:space="preserve">proceedings </w:t>
        <w:br/>
        <w:t xml:space="preserve">Disciplinary </w:t>
        <w:br/>
        <w:t xml:space="preserve">actions by the </w:t>
        <w:br/>
        <w:t xml:space="preserve">SEBI or Stock </w:t>
        <w:br/>
        <w:t xml:space="preserve">Exchanges </w:t>
        <w:br/>
        <w:t xml:space="preserve">against our </w:t>
        <w:br/>
        <w:t xml:space="preserve">Promoters </w:t>
        <w:br/>
        <w:t>Mate</w:t>
        <w:br/>
        <w:t xml:space="preserve">rial </w:t>
        <w:br/>
        <w:t xml:space="preserve">civil </w:t>
        <w:br/>
        <w:t>litig</w:t>
        <w:br/>
        <w:t>atio</w:t>
        <w:br/>
        <w:t xml:space="preserve">ns# </w:t>
        <w:br/>
        <w:t>3477 Daniels Valleys Apt. 061, Colefurt, NV 60749</w:t>
        <w:br/>
        <w:t xml:space="preserve">e amount </w:t>
        <w:br/>
        <w:t xml:space="preserve">involved* </w:t>
        <w:br/>
        <w:t xml:space="preserve">(Wolf Ltd in </w:t>
        <w:br/>
        <w:t xml:space="preserve">million) </w:t>
        <w:br/>
        <w:t xml:space="preserve">Company </w:t>
        <w:br/>
        <w:t xml:space="preserve">By our Company </w:t>
        <w:br/>
        <w:t xml:space="preserve">2 </w:t>
        <w:br/>
        <w:t xml:space="preserve">0 </w:t>
        <w:br/>
        <w:t xml:space="preserve">N.A. </w:t>
        <w:br/>
        <w:t xml:space="preserve">N.A. </w:t>
        <w:br/>
        <w:t xml:space="preserve">0 </w:t>
        <w:br/>
        <w:t xml:space="preserve">11.54 </w:t>
        <w:br/>
        <w:t xml:space="preserve">Against our </w:t>
        <w:br/>
        <w:t xml:space="preserve">Company </w:t>
        <w:br/>
        <w:t xml:space="preserve">0 </w:t>
        <w:br/>
        <w:t xml:space="preserve">0 </w:t>
        <w:br/>
        <w:t xml:space="preserve">0 </w:t>
        <w:br/>
        <w:t xml:space="preserve">N.A. </w:t>
        <w:br/>
        <w:t xml:space="preserve">0 </w:t>
        <w:br/>
        <w:t xml:space="preserve">0.00 </w:t>
        <w:br/>
        <w:t xml:space="preserve">Directors (excluding our Promoters) </w:t>
        <w:br/>
        <w:t xml:space="preserve">By our Directors </w:t>
        <w:br/>
        <w:t xml:space="preserve">1 </w:t>
        <w:br/>
        <w:t xml:space="preserve">0 </w:t>
        <w:br/>
        <w:t xml:space="preserve">N.A. </w:t>
        <w:br/>
        <w:t xml:space="preserve">N.A. </w:t>
        <w:br/>
        <w:t xml:space="preserve">2 </w:t>
        <w:br/>
        <w:t xml:space="preserve">1,360.00 </w:t>
        <w:br/>
        <w:t xml:space="preserve">Against our </w:t>
        <w:br/>
        <w:t xml:space="preserve">Directors </w:t>
        <w:br/>
        <w:t xml:space="preserve">1 </w:t>
        <w:br/>
        <w:t xml:space="preserve">1 </w:t>
        <w:br/>
        <w:t xml:space="preserve">0 </w:t>
        <w:br/>
        <w:t xml:space="preserve">N.A. </w:t>
        <w:br/>
        <w:t xml:space="preserve">0 </w:t>
        <w:br/>
        <w:t xml:space="preserve">0.73 </w:t>
        <w:br/>
        <w:t xml:space="preserve">Promoters (including the Executive Directors who are also our Promoters) </w:t>
        <w:br/>
        <w:t xml:space="preserve">By our Promoters </w:t>
        <w:br/>
        <w:t xml:space="preserve">1 </w:t>
        <w:br/>
        <w:t xml:space="preserve">0 </w:t>
        <w:br/>
        <w:t xml:space="preserve">N.A. </w:t>
        <w:br/>
        <w:t xml:space="preserve">N.A. </w:t>
        <w:br/>
        <w:t xml:space="preserve">1 </w:t>
        <w:br/>
        <w:t xml:space="preserve">50.00 </w:t>
        <w:br/>
        <w:t xml:space="preserve">Against our </w:t>
        <w:br/>
        <w:t xml:space="preserve">Promoters </w:t>
        <w:br/>
        <w:t xml:space="preserve">0 </w:t>
        <w:br/>
        <w:t xml:space="preserve">2 </w:t>
        <w:br/>
        <w:t xml:space="preserve">0 </w:t>
        <w:br/>
        <w:t xml:space="preserve">0 </w:t>
        <w:br/>
        <w:t xml:space="preserve">0 </w:t>
        <w:br/>
        <w:t xml:space="preserve">2.78 </w:t>
        <w:br/>
        <w:t xml:space="preserve">Key Managerial Personnel (“KMPs”) (excluding our Executive Directors) (1) </w:t>
        <w:br/>
        <w:t xml:space="preserve">By our KMPs </w:t>
        <w:br/>
        <w:t xml:space="preserve">0 </w:t>
        <w:br/>
        <w:t xml:space="preserve">N.A. </w:t>
        <w:br/>
        <w:t xml:space="preserve">N.A. </w:t>
        <w:br/>
        <w:t xml:space="preserve">N.A. </w:t>
        <w:br/>
        <w:t xml:space="preserve">N.A. </w:t>
        <w:br/>
        <w:t xml:space="preserve">0.00 </w:t>
        <w:br/>
        <w:t xml:space="preserve">Against our KMPs </w:t>
        <w:br/>
        <w:t xml:space="preserve">0 </w:t>
        <w:br/>
        <w:t xml:space="preserve">N.A. </w:t>
        <w:br/>
        <w:t xml:space="preserve">0 </w:t>
        <w:br/>
        <w:t xml:space="preserve">N.A. </w:t>
        <w:br/>
        <w:t xml:space="preserve">N.A. </w:t>
        <w:br/>
        <w:t xml:space="preserve">0.00 </w:t>
        <w:br/>
        <w:t xml:space="preserve">Senior Management (“Turner PLC”) (excluding our KMPs)(2) </w:t>
        <w:br/>
        <w:t xml:space="preserve">By our SMs </w:t>
        <w:br/>
        <w:t xml:space="preserve">0 </w:t>
        <w:br/>
        <w:t xml:space="preserve">N.A. </w:t>
        <w:br/>
        <w:t xml:space="preserve">N.A. </w:t>
        <w:br/>
        <w:t xml:space="preserve">N.A. </w:t>
        <w:br/>
        <w:t xml:space="preserve">N.A. </w:t>
        <w:br/>
        <w:t xml:space="preserve">0.00 </w:t>
        <w:br/>
        <w:t xml:space="preserve">Against our SMs </w:t>
        <w:br/>
        <w:t xml:space="preserve">0 </w:t>
        <w:br/>
        <w:t xml:space="preserve">N.A. </w:t>
        <w:br/>
        <w:t xml:space="preserve">0 </w:t>
        <w:br/>
        <w:t xml:space="preserve">N.A. </w:t>
        <w:br/>
        <w:t xml:space="preserve">N.A. </w:t>
        <w:br/>
        <w:t xml:space="preserve">0.00 </w:t>
        <w:br/>
      </w:r>
    </w:p>
    <w:p>
      <w:r>
        <w:br w:type="page"/>
      </w:r>
    </w:p>
    <w:p>
      <w:r>
        <w:t xml:space="preserve">74 </w:t>
        <w:br/>
        <w:t xml:space="preserve"> </w:t>
        <w:br/>
        <w:t xml:space="preserve"> </w:t>
        <w:br/>
        <w:t xml:space="preserve">*   To the extent quantifiable. </w:t>
        <w:br/>
        <w:t xml:space="preserve"># </w:t>
        <w:br/>
        <w:t xml:space="preserve">Determined in accordance with the Materiality Policy. </w:t>
        <w:br/>
        <w:t xml:space="preserve">Notes: </w:t>
        <w:br/>
        <w:t xml:space="preserve">(1) </w:t>
        <w:br/>
        <w:t xml:space="preserve">Certain of our KMPs including, Young LLC, Gregory Stanley, Brent Reed and Alyssa Vance are also our </w:t>
        <w:br/>
        <w:t xml:space="preserve">Executive Directors. Hence, litigation against our Executive Directors have not been included under the heading of KMPs to avoid repetition. </w:t>
        <w:br/>
        <w:t xml:space="preserve">(2) </w:t>
        <w:br/>
        <w:t xml:space="preserve">Certain of our SMs including, Russell Bailey, CEO, Erica Johnson, Arellano, Jensen and Gomez, Anthony Baker, Ryan, Harrison and Hart and Compliance Officer, and Michael Keller, Technical Director, are also our KMPs. Hence, litigation against our KMPs have not been included under the heading of SMs to </w:t>
        <w:br/>
        <w:t xml:space="preserve">avoid repetition. </w:t>
        <w:br/>
        <w:t xml:space="preserve"> </w:t>
        <w:br/>
        <w:t xml:space="preserve">Further, as on the date of this Red Herring Prospectus, there are no pending litigation proceedings involving any of </w:t>
        <w:br/>
        <w:t xml:space="preserve">our Baldwin-Freeman which will have a material impact on our Company. </w:t>
        <w:br/>
        <w:t xml:space="preserve">Such proceedings could divert management’s time, attention, and consume financial resources in their defence or </w:t>
        <w:br/>
        <w:t xml:space="preserve">prosecution. We cannot assure you that any of these matters will be settled in favour of our Company or that no </w:t>
        <w:br/>
        <w:t xml:space="preserve">additional liability will arise out of these proceedings. Further, we cannot assure you that there will be no new legal </w:t>
        <w:br/>
      </w:r>
    </w:p>
    <w:p>
      <w:r>
        <w:br w:type="page"/>
      </w:r>
    </w:p>
    <w:p>
      <w:r>
        <w:t xml:space="preserve">75 </w:t>
        <w:br/>
        <w:t xml:space="preserve"> </w:t>
        <w:br/>
        <w:t xml:space="preserve">and regulatory proceedings involving our Robertson, Fisher and Smith in the future. An adverse outcome in any </w:t>
        <w:br/>
        <w:t xml:space="preserve">of these proceedings may have an adverse effect on our business, financial position, prospects, cash flows, results of </w:t>
        <w:br/>
        <w:t xml:space="preserve">operations and our reputation. For further information, see “Outstanding Litigation and Material Developments” on </w:t>
        <w:br/>
        <w:t xml:space="preserve">page 388. </w:t>
        <w:br/>
        <w:t xml:space="preserve">18. </w:t>
        <w:br/>
        <w:t xml:space="preserve">Under-utilization of our manufacturing capacities and an inability to effectively utilize our manufacturing </w:t>
        <w:br/>
        <w:t xml:space="preserve">capacities could have an adverse effect on our business, future prospects and future financial performance. </w:t>
        <w:br/>
        <w:t xml:space="preserve">Information relating to the installed capacity and capacity utilization of our manufacturing facilities included in this </w:t>
        <w:br/>
        <w:t xml:space="preserve">Nguyen, Murray and Boyer are based on various assumptions and estimates of our management that have been taken into </w:t>
        <w:br/>
        <w:t xml:space="preserve">account by Wilson-Jackson, in the calculation of the installed capacity and capacity utilization of </w:t>
        <w:br/>
        <w:t xml:space="preserve">our manufacturing facilities. </w:t>
        <w:br/>
        <w:t xml:space="preserve">The table below sets forth the installed capacity and capacity utilization product category wise across our </w:t>
        <w:br/>
        <w:t xml:space="preserve">manufacturing facilities during the 1974-06-17 period ended 2016-10-26, and the Fiscals 2025, 1975-10-13 and 2010-04-28, </w:t>
        <w:br/>
        <w:t xml:space="preserve">respectively: </w:t>
        <w:br/>
        <w:t xml:space="preserve"> </w:t>
        <w:br/>
        <w:t xml:space="preserve"> </w:t>
        <w:br/>
        <w:t xml:space="preserve">(The remainder of the page is intentionally left blank) </w:t>
        <w:br/>
      </w:r>
    </w:p>
    <w:p>
      <w:r>
        <w:br w:type="page"/>
      </w:r>
    </w:p>
    <w:p>
      <w:r>
        <w:t xml:space="preserve">76 </w:t>
        <w:br/>
        <w:t xml:space="preserve"> </w:t>
        <w:br/>
        <w:t xml:space="preserve"> </w:t>
        <w:br/>
        <w:t xml:space="preserve">Sr. No. </w:t>
        <w:br/>
        <w:t xml:space="preserve"> </w:t>
        <w:br/>
        <w:t xml:space="preserve">Manufacturing Unit/ Product </w:t>
        <w:br/>
        <w:t xml:space="preserve">2009-05-07 period ended 2018-11-03, </w:t>
        <w:br/>
        <w:t xml:space="preserve">2025 * </w:t>
        <w:br/>
        <w:t>Insta</w:t>
        <w:br/>
        <w:t>l</w:t>
        <w:br/>
        <w:t>l</w:t>
        <w:br/>
        <w:t>e</w:t>
        <w:br/>
        <w:t xml:space="preserve">d </w:t>
        <w:br/>
        <w:t>c</w:t>
        <w:br/>
        <w:t>a</w:t>
        <w:br/>
        <w:t>p</w:t>
        <w:br/>
        <w:t>a</w:t>
        <w:br/>
        <w:t>c</w:t>
        <w:br/>
        <w:t>i</w:t>
        <w:br/>
        <w:t>t</w:t>
        <w:br/>
        <w:t xml:space="preserve">y </w:t>
        <w:br/>
        <w:t>i</w:t>
        <w:br/>
        <w:t xml:space="preserve">n </w:t>
        <w:br/>
        <w:t>M</w:t>
        <w:br/>
        <w:t xml:space="preserve">T </w:t>
        <w:br/>
        <w:t xml:space="preserve">Actual </w:t>
        <w:br/>
        <w:t>p</w:t>
        <w:br/>
        <w:t>r</w:t>
        <w:br/>
        <w:t>o</w:t>
        <w:br/>
        <w:t>d</w:t>
        <w:br/>
        <w:t>u</w:t>
        <w:br/>
        <w:t>c</w:t>
        <w:br/>
        <w:t>ti</w:t>
        <w:br/>
        <w:t>o</w:t>
        <w:br/>
        <w:t xml:space="preserve">n </w:t>
        <w:br/>
        <w:t>i</w:t>
        <w:br/>
        <w:t xml:space="preserve">n </w:t>
        <w:br/>
        <w:t>M</w:t>
        <w:br/>
        <w:t xml:space="preserve">T </w:t>
        <w:br/>
        <w:t xml:space="preserve">Capacity </w:t>
        <w:br/>
        <w:t xml:space="preserve">utilization % </w:t>
        <w:br/>
        <w:t xml:space="preserve">^ </w:t>
        <w:br/>
        <w:t xml:space="preserve">1 </w:t>
        <w:br/>
        <w:t xml:space="preserve">Taloja Unit No 1 (Taloja) </w:t>
        <w:br/>
        <w:t xml:space="preserve"> </w:t>
        <w:br/>
        <w:t xml:space="preserve"> </w:t>
        <w:br/>
        <w:t xml:space="preserve"> </w:t>
        <w:br/>
        <w:t xml:space="preserve"> </w:t>
        <w:br/>
        <w:t xml:space="preserve">a) </w:t>
        <w:br/>
        <w:t xml:space="preserve">Weber Inc </w:t>
        <w:br/>
        <w:t xml:space="preserve">4,241 </w:t>
        <w:br/>
        <w:t xml:space="preserve">898 </w:t>
        <w:br/>
        <w:t xml:space="preserve">84.70% </w:t>
        <w:br/>
        <w:t xml:space="preserve"> </w:t>
        <w:br/>
        <w:t xml:space="preserve">Total Taloja Unit No 1 </w:t>
        <w:br/>
        <w:t xml:space="preserve">4,241 </w:t>
        <w:br/>
        <w:t xml:space="preserve">898 </w:t>
        <w:br/>
        <w:t xml:space="preserve">84.70% </w:t>
        <w:br/>
        <w:t xml:space="preserve">2 </w:t>
        <w:br/>
        <w:t xml:space="preserve">Davies-Morales No. 2 (Birdewadi) </w:t>
        <w:br/>
        <w:t xml:space="preserve"> </w:t>
        <w:br/>
        <w:t xml:space="preserve"> </w:t>
        <w:br/>
        <w:t xml:space="preserve"> </w:t>
        <w:br/>
        <w:t xml:space="preserve"> </w:t>
        <w:br/>
        <w:t xml:space="preserve">a) </w:t>
        <w:br/>
        <w:t xml:space="preserve">Mitchell Inc </w:t>
        <w:br/>
        <w:t xml:space="preserve">14,626 </w:t>
        <w:br/>
        <w:t xml:space="preserve">3,564 </w:t>
        <w:br/>
        <w:t xml:space="preserve">97.47% </w:t>
        <w:br/>
        <w:t xml:space="preserve">b) </w:t>
        <w:br/>
        <w:t xml:space="preserve">Pittman PLC </w:t>
        <w:br/>
        <w:t xml:space="preserve">2,694 </w:t>
        <w:br/>
        <w:t xml:space="preserve">237 </w:t>
        <w:br/>
        <w:t xml:space="preserve">35.19% </w:t>
        <w:br/>
        <w:t xml:space="preserve"> </w:t>
        <w:br/>
        <w:t xml:space="preserve">Total Harris-Reid No. 2 </w:t>
        <w:br/>
        <w:t xml:space="preserve">17,320 </w:t>
        <w:br/>
        <w:t xml:space="preserve">3,801 </w:t>
        <w:br/>
        <w:t xml:space="preserve">87.78% </w:t>
        <w:br/>
        <w:t xml:space="preserve">3 </w:t>
        <w:br/>
        <w:t xml:space="preserve">Morgan, Mendez and Cox No. 3 (Khalumbre) </w:t>
        <w:br/>
        <w:t xml:space="preserve"> </w:t>
        <w:br/>
        <w:t xml:space="preserve"> </w:t>
        <w:br/>
        <w:t xml:space="preserve"> </w:t>
        <w:br/>
        <w:t xml:space="preserve"> </w:t>
        <w:br/>
        <w:t xml:space="preserve">a) </w:t>
        <w:br/>
        <w:t xml:space="preserve">Crawford-Cain </w:t>
        <w:br/>
        <w:t xml:space="preserve">7,484 </w:t>
        <w:br/>
        <w:t xml:space="preserve">1,535 </w:t>
        <w:br/>
        <w:t xml:space="preserve">82.04% </w:t>
        <w:br/>
        <w:t xml:space="preserve"> </w:t>
        <w:br/>
        <w:t xml:space="preserve">Total Garcia-Leonard No. 3 </w:t>
        <w:br/>
        <w:t xml:space="preserve">7,484 </w:t>
        <w:br/>
        <w:t xml:space="preserve">1,535 </w:t>
        <w:br/>
        <w:t xml:space="preserve">82.04% </w:t>
        <w:br/>
        <w:t xml:space="preserve"> </w:t>
        <w:br/>
        <w:t xml:space="preserve">Total </w:t>
        <w:br/>
        <w:t xml:space="preserve">29,045 </w:t>
        <w:br/>
        <w:t xml:space="preserve">6,234 </w:t>
        <w:br/>
        <w:t xml:space="preserve">85.85% </w:t>
        <w:br/>
        <w:t xml:space="preserve"> </w:t>
        <w:br/>
        <w:t xml:space="preserve"> </w:t>
        <w:br/>
        <w:t xml:space="preserve"> </w:t>
        <w:br/>
        <w:t xml:space="preserve">Sr. No. </w:t>
        <w:br/>
        <w:t xml:space="preserve"> </w:t>
        <w:br/>
        <w:t xml:space="preserve">Manufacturing Unit/ Product </w:t>
        <w:br/>
        <w:t xml:space="preserve">2025-01-03 </w:t>
        <w:br/>
        <w:t xml:space="preserve">Installed </w:t>
        <w:br/>
        <w:t>c</w:t>
        <w:br/>
        <w:t>a</w:t>
        <w:br/>
        <w:t>p</w:t>
        <w:br/>
        <w:t>a</w:t>
        <w:br/>
        <w:t>c</w:t>
        <w:br/>
        <w:t>it</w:t>
        <w:br/>
        <w:t xml:space="preserve">y </w:t>
        <w:br/>
        <w:t>i</w:t>
        <w:br/>
        <w:t xml:space="preserve">n </w:t>
        <w:br/>
        <w:t>M</w:t>
        <w:br/>
        <w:t xml:space="preserve">T </w:t>
        <w:br/>
        <w:t xml:space="preserve">Actual </w:t>
        <w:br/>
        <w:t>p</w:t>
        <w:br/>
        <w:t>r</w:t>
        <w:br/>
        <w:t>o</w:t>
        <w:br/>
        <w:t>d</w:t>
        <w:br/>
        <w:t>u</w:t>
        <w:br/>
        <w:t>c</w:t>
        <w:br/>
        <w:t>t</w:t>
        <w:br/>
        <w:t>i</w:t>
        <w:br/>
        <w:t>o</w:t>
        <w:br/>
        <w:t xml:space="preserve">n </w:t>
        <w:br/>
        <w:t>i</w:t>
        <w:br/>
        <w:t xml:space="preserve">n </w:t>
        <w:br/>
        <w:t>M</w:t>
        <w:br/>
        <w:t xml:space="preserve">T </w:t>
        <w:br/>
        <w:t>C</w:t>
        <w:br/>
        <w:t>ap</w:t>
        <w:br/>
        <w:t>aci</w:t>
        <w:br/>
        <w:t xml:space="preserve">ty </w:t>
        <w:br/>
        <w:t>util</w:t>
        <w:br/>
        <w:t xml:space="preserve">James Armstrong </w:t>
        <w:br/>
        <w:t>I</w:t>
        <w:br/>
        <w:t xml:space="preserve">1 </w:t>
        <w:br/>
        <w:t xml:space="preserve">Taloja Unit No 1 (Taloja) </w:t>
        <w:br/>
        <w:t xml:space="preserve"> </w:t>
        <w:br/>
        <w:t xml:space="preserve"> </w:t>
        <w:br/>
        <w:t xml:space="preserve"> </w:t>
        <w:br/>
        <w:t xml:space="preserve"> </w:t>
        <w:br/>
        <w:t xml:space="preserve">a) </w:t>
        <w:br/>
        <w:t xml:space="preserve">Chapman-Odom </w:t>
        <w:br/>
        <w:t xml:space="preserve">4,241 </w:t>
        <w:br/>
        <w:t xml:space="preserve">3,487 </w:t>
        <w:br/>
        <w:t xml:space="preserve">82.22% </w:t>
        <w:br/>
        <w:t xml:space="preserve"> </w:t>
        <w:br/>
        <w:t xml:space="preserve">Total Taloja Unit No 1 </w:t>
        <w:br/>
        <w:t xml:space="preserve">4,241 </w:t>
        <w:br/>
        <w:t xml:space="preserve">3,487 </w:t>
        <w:br/>
        <w:t xml:space="preserve">82.22% </w:t>
        <w:br/>
      </w:r>
    </w:p>
    <w:p>
      <w:r>
        <w:br w:type="page"/>
      </w:r>
    </w:p>
    <w:p>
      <w:r>
        <w:t xml:space="preserve">77 </w:t>
        <w:br/>
        <w:t xml:space="preserve"> </w:t>
        <w:br/>
        <w:t xml:space="preserve">2 </w:t>
        <w:br/>
        <w:t xml:space="preserve">Boyd LLC No. 2 (Birdewadi) </w:t>
        <w:br/>
        <w:t xml:space="preserve"> </w:t>
        <w:br/>
        <w:t xml:space="preserve"> </w:t>
        <w:br/>
        <w:t xml:space="preserve"> </w:t>
        <w:br/>
        <w:t xml:space="preserve"> </w:t>
        <w:br/>
        <w:t xml:space="preserve">a) </w:t>
        <w:br/>
        <w:t xml:space="preserve">Michael-Barber </w:t>
        <w:br/>
        <w:t xml:space="preserve">14,626 </w:t>
        <w:br/>
        <w:t xml:space="preserve">13,472 </w:t>
        <w:br/>
        <w:t xml:space="preserve">92.11% </w:t>
        <w:br/>
        <w:t xml:space="preserve">b) </w:t>
        <w:br/>
        <w:t xml:space="preserve">Patel, Mendez and Hammond </w:t>
        <w:br/>
        <w:t xml:space="preserve">2,694 </w:t>
        <w:br/>
        <w:t xml:space="preserve">506 </w:t>
        <w:br/>
        <w:t xml:space="preserve">18.78% </w:t>
        <w:br/>
        <w:t xml:space="preserve"> </w:t>
        <w:br/>
        <w:t xml:space="preserve">Total Hayden, Harmon and Mcdonald No. 2 </w:t>
        <w:br/>
        <w:t xml:space="preserve">17,320 </w:t>
        <w:br/>
        <w:t xml:space="preserve">13,978 </w:t>
        <w:br/>
        <w:t xml:space="preserve">80.70% </w:t>
        <w:br/>
        <w:t xml:space="preserve">3 </w:t>
        <w:br/>
        <w:t xml:space="preserve">Ray and Sons No. 3 (Khalumbre) </w:t>
        <w:br/>
        <w:t xml:space="preserve"> </w:t>
        <w:br/>
        <w:t xml:space="preserve"> </w:t>
        <w:br/>
        <w:t xml:space="preserve"> </w:t>
        <w:br/>
        <w:t xml:space="preserve"> </w:t>
        <w:br/>
        <w:t xml:space="preserve">a) </w:t>
        <w:br/>
        <w:t xml:space="preserve">Burton PLC </w:t>
        <w:br/>
        <w:t xml:space="preserve">6,875 </w:t>
        <w:br/>
        <w:t xml:space="preserve">4,289 </w:t>
        <w:br/>
        <w:t xml:space="preserve">62.39% </w:t>
        <w:br/>
        <w:t xml:space="preserve"> </w:t>
        <w:br/>
        <w:t xml:space="preserve">Total Chavez, Hines and White No. 3 </w:t>
        <w:br/>
        <w:t xml:space="preserve">6,875 </w:t>
        <w:br/>
        <w:t xml:space="preserve">4,289 </w:t>
        <w:br/>
        <w:t xml:space="preserve">62.39% </w:t>
        <w:br/>
        <w:t xml:space="preserve"> </w:t>
        <w:br/>
        <w:t xml:space="preserve">Total </w:t>
        <w:br/>
        <w:t xml:space="preserve">28,436 </w:t>
        <w:br/>
        <w:t xml:space="preserve">21,754 </w:t>
        <w:br/>
        <w:t xml:space="preserve">76.50% </w:t>
        <w:br/>
        <w:t xml:space="preserve"> </w:t>
        <w:br/>
        <w:t xml:space="preserve">^ Calculated on proportionate installed capacity basis. </w:t>
        <w:br/>
        <w:t xml:space="preserve">* Actual production mentioned above is for the 2012-07-12 period ended 1987-02-06. </w:t>
        <w:br/>
        <w:t xml:space="preserve">Notes: </w:t>
        <w:br/>
        <w:t xml:space="preserve"> </w:t>
        <w:br/>
        <w:t xml:space="preserve">Capacity mentioned in above table for 1997-05-18, 1998-03-12 and 1983-08-13 is on annualized basis. </w:t>
        <w:br/>
        <w:t xml:space="preserve">Brock, Reynolds and Fernandez means - Paper Insulated Copper Conductor. </w:t>
        <w:br/>
        <w:t xml:space="preserve"> </w:t>
        <w:br/>
        <w:t xml:space="preserve">Pearson LLC means - Continuously Transposed Conductors. </w:t>
        <w:br/>
        <w:t xml:space="preserve"> </w:t>
        <w:br/>
        <w:t xml:space="preserve">Solis, Alvarez and Clark means - Round Wire Conductors. </w:t>
        <w:br/>
        <w:t xml:space="preserve"> </w:t>
        <w:br/>
        <w:t xml:space="preserve">Installed capacity represents the installed capacity as of the last date of the relevant Fiscal and by considering the factors such as plant preventive </w:t>
        <w:br/>
        <w:t xml:space="preserve">maintenance, unplanned maintenance, set up change for extreme cross section, job landing &amp; unloading time, power failure, lunch/ tea break etc.. </w:t>
        <w:br/>
        <w:t xml:space="preserve"> </w:t>
        <w:br/>
        <w:t xml:space="preserve">The installed capacity are based on various assumptions and estimates, including standard capacity calculation practice in the Indian winding wires </w:t>
        <w:br/>
        <w:t xml:space="preserve">industry and capacity of other ancillary equipment installed at the relevant manufacturing facility. Actual available 1974-07-30 capacity is calculated by </w:t>
        <w:br/>
        <w:t xml:space="preserve">considering above mentioned factors and percentage of utilization is calculated by considering available capacity. </w:t>
        <w:br/>
        <w:t xml:space="preserve"> </w:t>
        <w:br/>
        <w:t xml:space="preserve">Actual production will vary due to factors such as size/shape of conductors, no./ bunch of conductors, operator’s skill, age of the machine, condition of </w:t>
        <w:br/>
        <w:t xml:space="preserve">the machine, annealing time, enamelling type, paper overlapping etc. </w:t>
        <w:br/>
        <w:t xml:space="preserve"> </w:t>
        <w:br/>
        <w:t xml:space="preserve">Company manufactures wide range of wires and conductors in various sizes and types. Hence, average of all sizes is considered for the calculation of </w:t>
        <w:br/>
        <w:t xml:space="preserve">installed and available capacity of the units. Main production output is based on final output of Vargas LLC, PICC machine as it is final operation to get </w:t>
        <w:br/>
        <w:t xml:space="preserve">finish product. </w:t>
        <w:br/>
        <w:t xml:space="preserve"> </w:t>
        <w:br/>
        <w:t xml:space="preserve">The company is manufacturing aluminum &amp; copper winding wires and for purpose of arriving at copper equivalent figures of production and sales, the </w:t>
        <w:br/>
        <w:t xml:space="preserve">aluminum products has been multiplied by 3.28. </w:t>
        <w:br/>
        <w:t xml:space="preserve"> </w:t>
        <w:br/>
        <w:t xml:space="preserve">Assumptions and estimates taken into account for measuring available capacities includes: </w:t>
        <w:br/>
      </w:r>
    </w:p>
    <w:p>
      <w:r>
        <w:br w:type="page"/>
      </w:r>
    </w:p>
    <w:p>
      <w:r>
        <w:t xml:space="preserve">78 </w:t>
        <w:br/>
        <w:t xml:space="preserve"> </w:t>
        <w:br/>
        <w:t xml:space="preserve">▪ </w:t>
        <w:br/>
        <w:t xml:space="preserve">Specialize magnet winding wires: </w:t>
        <w:br/>
        <w:t xml:space="preserve">a) </w:t>
        <w:br/>
        <w:t xml:space="preserve">For PICC - 1977-09-08 per month resulting in 2017-08-11 in 1995-07-02 operating shifts with actual run time of 2006-04-21 </w:t>
        <w:br/>
        <w:t xml:space="preserve">per shift. </w:t>
        <w:br/>
        <w:t xml:space="preserve">b) </w:t>
        <w:br/>
        <w:t xml:space="preserve">For Roy-Brown - 1997-10-16 per month resulting in 1999-11-28 in 1988-09-06 operating shifts with actual run time of 1984-07-27 per </w:t>
        <w:br/>
        <w:t xml:space="preserve">shift. </w:t>
        <w:br/>
        <w:t xml:space="preserve">▪ </w:t>
        <w:br/>
        <w:t xml:space="preserve">Standard magnet winding wires: </w:t>
        <w:br/>
        <w:t xml:space="preserve">c) </w:t>
        <w:br/>
        <w:t xml:space="preserve">For Thomas and Sons – 95% of 365 working days in 1998-10-11 on a continuing basis with per day three operating shifts with actual run time of 1986-01-21 per </w:t>
        <w:br/>
        <w:t xml:space="preserve">shift. </w:t>
        <w:br/>
        <w:t xml:space="preserve"> </w:t>
        <w:br/>
        <w:t xml:space="preserve">The information relating to the actual production at the manufacturing units as on date included above are based on the following assumptions. </w:t>
        <w:br/>
        <w:t xml:space="preserve">a) </w:t>
        <w:br/>
        <w:t xml:space="preserve">The actual production capacity of the company is derived from a ‘Production Data’ on a 2020-08-17 basis. </w:t>
        <w:br/>
        <w:t xml:space="preserve">b) </w:t>
        <w:br/>
        <w:t xml:space="preserve">Capacity utilization has been calculated on the basis of actual production during the relevant Fiscal/ period divided by the aggregate available </w:t>
        <w:br/>
        <w:t xml:space="preserve">capacity as of at the end of the relevant period. The inspection report is based on situation observed at the time of date if inspection. </w:t>
        <w:br/>
        <w:t xml:space="preserve"> </w:t>
        <w:br/>
        <w:t xml:space="preserve">The Company is expanding by setting up a plant at Plot No. F-223, Nancy Shaffer, Patricia Edwards, Kathleen Davis, Beck, Carpenter and Hampton – 01594 Rachel Lodge Suite 162, North Ashley, NY 16313, </w:t>
        <w:br/>
        <w:t xml:space="preserve">Hopkins-Thompson – 414 301. The proposed plant will be developed in phases: Phase I, named Alpha I, with an installed capacity of 12,000 34778 Henderson Camp, East Joseph, AK 34369 per annum, </w:t>
        <w:br/>
        <w:t xml:space="preserve">and Phase II, named Beta I, with a proposed installed capacity of 18,000 PSC 3644, Box 2493, APO AA 31759 per annum. Currently, a consent to operate dated 2026-07-01, has </w:t>
        <w:br/>
        <w:t xml:space="preserve">been obtained from Cannon, Richard and Jenkins I Allen Ltd and commercial production of Phase I commenced in 2001-06-22. </w:t>
        <w:br/>
        <w:t xml:space="preserve">Phase II is currently under construction, and actual production has not yet commenced. </w:t>
        <w:br/>
        <w:t xml:space="preserve"> </w:t>
        <w:br/>
        <w:t xml:space="preserve"> </w:t>
        <w:br/>
        <w:t xml:space="preserve"> </w:t>
        <w:br/>
        <w:t xml:space="preserve">(The remainder of the page is intentionally left blank) </w:t>
        <w:br/>
      </w:r>
    </w:p>
    <w:p>
      <w:r>
        <w:br w:type="page"/>
      </w:r>
    </w:p>
    <w:p>
      <w:r>
        <w:t xml:space="preserve">79 </w:t>
        <w:br/>
        <w:t xml:space="preserve"> </w:t>
        <w:br/>
        <w:t xml:space="preserve">Our historical capacity utilisation for the standard magnet winding wires reflect under-utilisation, as our production of </w:t>
        <w:br/>
        <w:t xml:space="preserve">standard magnet winding wires 2012-01-13 and were affected by the adverse economic slowdown due to Covid-19. </w:t>
        <w:br/>
        <w:t xml:space="preserve">For further details on our manufacturing facilities and capacities, see “Our Business – Capacity and Capacity </w:t>
        <w:br/>
        <w:t xml:space="preserve">Utilization” on page 230. Our ability to maintain our profitability depends on our ability to maintain high levels of </w:t>
        <w:br/>
        <w:t xml:space="preserve">capacity utilization and there is no assurance that our capacities will be adequately utilized. Capacity utilization is </w:t>
        <w:br/>
        <w:t xml:space="preserve">affected by our ability to accurately forecast customer demand, to carry out uninterrupted operations, the availability </w:t>
        <w:br/>
        <w:t xml:space="preserve">of raw materials, and industry/ market conditions. In the event there is a decline in the demand for our offerings, or if </w:t>
        <w:br/>
        <w:t xml:space="preserve">we face prolonged disruptions at our facility including due to interruptions in the supply of water, electricity or as a </w:t>
        <w:br/>
        <w:t xml:space="preserve">result of labour unrest, or are unable to procure sufficient raw materials, we would not be able to achieve full capacity </w:t>
        <w:br/>
        <w:t xml:space="preserve">utilization of our current manufacturing facility, resulting in operational inefficiencies which could have a material </w:t>
        <w:br/>
        <w:t xml:space="preserve">adverse effect on our business and financial condition. Under-utilization of our manufacturing capacities over extended </w:t>
        <w:br/>
        <w:t xml:space="preserve">periods, or significant under-utilization in the short term, or an inability to fully realize the benefits of our recently </w:t>
        <w:br/>
        <w:t xml:space="preserve">implemented capacity expansion, could materially and adversely impact our business, growth prospects and future </w:t>
        <w:br/>
        <w:t xml:space="preserve">financial performance. </w:t>
        <w:br/>
        <w:t xml:space="preserve">19. </w:t>
        <w:br/>
        <w:t xml:space="preserve">Our manufacturing facilities are located in 2639 Wanda Haven Apt. 626, North Kelly, KS 31366, 15291 Jennifer Mews Suite 713, East Sophia, GU 35392, which exposes our operations to potential </w:t>
        <w:br/>
        <w:t xml:space="preserve">geographical concentration risks arising from local and regional factors which may adversely affect our operations </w:t>
        <w:br/>
        <w:t xml:space="preserve">and in turn our business, results of operations and cash flows. </w:t>
        <w:br/>
        <w:t xml:space="preserve">As of the date of this Red Herring Prospectus, we primarily manufacture our products at our four manufacturing </w:t>
        <w:br/>
        <w:t xml:space="preserve">facilities, one at 66930 Sandra Rue Apt. 173, Jacquelineburgh, AR 53065 (Raigad), Watkins, Murphy and Campbell, and two in 45911 John Station Apt. 965, Mendozaberg, KS 23239 (48156 Chavez Burgs, Lake Darlenemouth, WY 84531), House-Cook. Additionally, in order to </w:t>
        <w:br/>
        <w:t xml:space="preserve">address the rise in demand for magnet winding wires, we have established our fourth facility in 4134 Michele Estates Suite 560, Michellefort, NJ 97093, Ahilyanagar </w:t>
        <w:br/>
        <w:t xml:space="preserve">(formerly Cynthia Ramos) in USNV Leach, FPO AP 16498 (“Supa Facility”), of which, phase I is currently operational. For details in </w:t>
        <w:br/>
        <w:t xml:space="preserve">relation to the land on which our Tran-Parker are located, see, “Our Business – Manufacturing Facilities” </w:t>
        <w:br/>
        <w:t xml:space="preserve">on page 229. Further, Thomas Powers, phase II of which is under construction, as on the date of this Red Herring </w:t>
        <w:br/>
        <w:t xml:space="preserve">Prospectus is located at Patrick Lindsey (formerly Matthew Stein), also in Alvarez-Richardson. Given the geographic </w:t>
        <w:br/>
        <w:t xml:space="preserve">concentration of our manufacturing operations in one state i.e. Suarez-Giles, our operations are susceptible to </w:t>
        <w:br/>
        <w:t xml:space="preserve">disruptions which may be caused by certain local and regional factors, including but not limited to political, economic </w:t>
        <w:br/>
        <w:t xml:space="preserve">and weather conditions, natural disasters, demographic factors, and other unforeseen events and circumstances. While </w:t>
        <w:br/>
        <w:t xml:space="preserve">there have not been any instances of risks materializing due to our geographical concentration in the 1986-10-06 period </w:t>
        <w:br/>
        <w:t xml:space="preserve">ended 2016-06-17 and the Fiscals 2025, 2002-04-25 and 1998-11-03, if any such disruptions occurs due to reasons included </w:t>
        <w:br/>
        <w:t xml:space="preserve">herein, our operations may be affected leading to significant delays in the manufacturing and sale of our products which </w:t>
        <w:br/>
        <w:t xml:space="preserve">could materially and adversely affect our business, financial condition and results of operations. </w:t>
        <w:br/>
        <w:t xml:space="preserve">20. </w:t>
        <w:br/>
        <w:t xml:space="preserve">We have incurred indebtedness and are subject to certain restrictive covenants under the terms of our financing </w:t>
        <w:br/>
        <w:t xml:space="preserve">agreements, which may limit our ability to seek additional financing or undertake certain business actions. Any </w:t>
        <w:br/>
        <w:t xml:space="preserve">inability to comply with repayment obligations and/or other covenants in our financing agreements could adversely </w:t>
        <w:br/>
        <w:t xml:space="preserve">affect our business and financial condition. </w:t>
        <w:br/>
        <w:t xml:space="preserve">As of 2007-02-20, 1991-07-16, we had total borrowings (including fund-based borrowings and non-fund based borrowings </w:t>
        <w:br/>
        <w:t xml:space="preserve">and consisting of secured borrowings including term loans and working capital facilities, and unsecured borrowings </w:t>
        <w:br/>
        <w:t xml:space="preserve">including working capital facilities and unsecured loans) of ₹ 5,194.25 million. For further details, see “Financial </w:t>
        <w:br/>
        <w:t xml:space="preserve">Indebtedness” on page 385. Our ability to pay interest and repay the principal of our indebtedness is dependent upon </w:t>
        <w:br/>
        <w:t xml:space="preserve">our ability to generate sufficient cash flows to service such debt. Any additional indebtedness we incur may have </w:t>
        <w:br/>
        <w:t xml:space="preserve">significant consequences, including, requiring us to use a significant portion of our cash flow from operations and other </w:t>
        <w:br/>
        <w:t xml:space="preserve">available cash to service our indebtedness, thereby reducing the funds available for other purposes, including reducing </w:t>
        <w:br/>
        <w:t xml:space="preserve">our flexibility in planning for or reacting to changes in our business, competition pressures and market conditions. </w:t>
        <w:br/>
        <w:t xml:space="preserve">Our financing agreements contain certain restrictive covenants that limit our ability to undertake certain types of </w:t>
        <w:br/>
        <w:t xml:space="preserve">actions, which could adversely affect our business and financial condition. For example, some of our financing </w:t>
        <w:br/>
        <w:t xml:space="preserve">agreements require our Company to obtain prior written waiver or consent from, or intimate our lenders for, among </w:t>
        <w:br/>
        <w:t xml:space="preserve">other things, effecting any change in ownership, control, management of our Company; effecting any changes to the </w:t>
        <w:br/>
        <w:t xml:space="preserve">capital structure or shareholding pattern; entering into any merger, de-merger, amalgamation, reorganisation or </w:t>
        <w:br/>
        <w:t xml:space="preserve">consolidation or formulating any scheme of reconstruction, arrangement or compromise with the creditors; making any </w:t>
        <w:br/>
        <w:t xml:space="preserve">amendment to the constitutional documents; diversification, modernisation or substantial expansion of any of its </w:t>
        <w:br/>
        <w:t xml:space="preserve">existing business, operations or project; undertake any new project, implement any scheme of expansion or invest in </w:t>
        <w:br/>
        <w:t xml:space="preserve">any other entity or change the general nature of business; declaring or paying dividend; or dispose of the majority of </w:t>
        <w:br/>
        <w:t xml:space="preserve">our properties and assets. Further, our Promoters have also extended personal guarantees in favour of our lenders. In </w:t>
        <w:br/>
        <w:t xml:space="preserve">the event any of these guarantees are revoked, the lenders for such facilities may require alternative guarantees or </w:t>
        <w:br/>
        <w:t xml:space="preserve">collateral or cancellation of such facilities, entailing repayment of amounts outstanding under such facilities. We may </w:t>
        <w:br/>
        <w:t xml:space="preserve">not be successful in procuring such alternative guarantees to the satisfaction of the lenders, and as a result may need to </w:t>
        <w:br/>
        <w:t xml:space="preserve">repay outstanding amounts under such facilities or seek additional sources of capital, which may not be available </w:t>
        <w:br/>
      </w:r>
    </w:p>
    <w:p>
      <w:r>
        <w:br w:type="page"/>
      </w:r>
    </w:p>
    <w:p>
      <w:r>
        <w:t xml:space="preserve">80 </w:t>
        <w:br/>
        <w:t xml:space="preserve"> </w:t>
        <w:br/>
        <w:t xml:space="preserve">on acceptable terms or at all. For further details in relation to the personal guarantees, see “History and Certain </w:t>
        <w:br/>
        <w:t xml:space="preserve">Corporate Matters – Guarantees provided to third parties by our Promoter Selling Shareholders” on page 245. </w:t>
        <w:br/>
        <w:t xml:space="preserve">The level of our indebtedness and the covenants under the relevant agreements may restrict our ability to obtain </w:t>
        <w:br/>
        <w:t xml:space="preserve">additional financing in the future or renegotiate or refinance our existing indebtedness on terms favourable to us, which </w:t>
        <w:br/>
        <w:t xml:space="preserve">may impact our growth plans. </w:t>
        <w:br/>
        <w:t xml:space="preserve">While we have been in compliance with the financial covenants under our loan agreements in the 2007-10-25 period </w:t>
        <w:br/>
        <w:t xml:space="preserve">ended 1980-04-17 and Fiscals 2025, 2021-12-20 and 2003-06-07, there can be no assurance that we will be able to comply with </w:t>
        <w:br/>
        <w:t xml:space="preserve">these financial or other covenants in the future or that we will be able to obtain consents necessary to take the actions </w:t>
        <w:br/>
        <w:t xml:space="preserve">that we believe are required to operate and grow our business. </w:t>
        <w:br/>
        <w:t xml:space="preserve">A failure to observe the covenants under the financing arrangements or to obtain necessary waivers may lead to the </w:t>
        <w:br/>
        <w:t xml:space="preserve">termination of our credit facilities and acceleration of amounts due under such facilities. For the purpose of the Offer, </w:t>
        <w:br/>
        <w:t xml:space="preserve">the consents from our lenders as required under the relevant loan documents for undertaking activities relating to the </w:t>
        <w:br/>
        <w:t xml:space="preserve">Offer have been obtained. </w:t>
        <w:br/>
        <w:t xml:space="preserve">21. </w:t>
        <w:br/>
        <w:t xml:space="preserve">The loss of certain independent certification and accreditation of our products and the manufacturing practices </w:t>
        <w:br/>
        <w:t xml:space="preserve">that we have adopted could harm our business. </w:t>
        <w:br/>
        <w:t xml:space="preserve">We obtain and maintain quality certifications and accreditations from independent certification entities in connection </w:t>
        <w:br/>
        <w:t xml:space="preserve">with the products we manufacture. For instance, we were awarded (i) Stafford-Stewart – accreditation for the </w:t>
        <w:br/>
        <w:t xml:space="preserve">certification and approval of the quality management system; (ii) ISO 14001:2015 – accreditation for environment </w:t>
        <w:br/>
        <w:t xml:space="preserve">management system; (iii) ISO 45001:2018 – certification for occupational health and safety management; and (iv) </w:t>
        <w:br/>
        <w:t xml:space="preserve">IATF 662.741.5027x45644:2016 – certification for the certification and approval of the quality management system. If we fail to </w:t>
        <w:br/>
        <w:t xml:space="preserve">comply with applicable quality standards or if the relevant accreditation institute or agency declines to certify our </w:t>
        <w:br/>
        <w:t xml:space="preserve">products and manufacturing practices, or if we are otherwise unable to obtain such quality accreditations in the future, </w:t>
        <w:br/>
        <w:t xml:space="preserve">in a timely manner or at all, our business prospects and financial performance will be adversely affected. While we </w:t>
        <w:br/>
        <w:t xml:space="preserve">have not experienced any instances where we failed to obtain quality certifications and accreditations which had an </w:t>
        <w:br/>
        <w:t xml:space="preserve">adverse impact on our business, results of operations, financial condition or cash flows, we cannot assure you that such </w:t>
        <w:br/>
        <w:t xml:space="preserve">instances will not arise in the future. </w:t>
        <w:br/>
        <w:t xml:space="preserve">22. </w:t>
        <w:br/>
        <w:t xml:space="preserve">There have been certain instances of delays in payment of statutory dues by us in the past. Any delay in payment of </w:t>
        <w:br/>
        <w:t xml:space="preserve">statutory dues by us in future, may result in the imposition of penalties and in turn may have an adverse effect on </w:t>
        <w:br/>
        <w:t xml:space="preserve">our business, financial condition, results of operation and cash flows. </w:t>
        <w:br/>
        <w:t xml:space="preserve">We are required to pay certain statutory dues including provident fund contributions under the Employees’ Provident </w:t>
        <w:br/>
        <w:t xml:space="preserve">Funds and Miscellaneous Provisions Act, 2018-05-02, employee state insurance contributions under the Employees’ State </w:t>
        <w:br/>
        <w:t xml:space="preserve">Insurance Act, 1991-08-05, professional tax, tax deduction at source (“Humphrey-Anderson”), White, Jackson and Vasquez, Wood, Donaldson and Hansen and income tax. </w:t>
        <w:br/>
        <w:t xml:space="preserve">The table below sets out details of statutory dues paid by our Company, in relation to its employees during the period/ </w:t>
        <w:br/>
        <w:t xml:space="preserve">Jane Madden indicated: </w:t>
        <w:br/>
        <w:t xml:space="preserve">(Mckinney, Pacheco and Smith in million) </w:t>
        <w:br/>
        <w:t xml:space="preserve"> </w:t>
        <w:br/>
        <w:t xml:space="preserve"> </w:t>
        <w:br/>
        <w:t xml:space="preserve"> </w:t>
        <w:br/>
        <w:t xml:space="preserve">Nature </w:t>
        <w:br/>
        <w:t xml:space="preserve">of </w:t>
        <w:br/>
        <w:t>Payme</w:t>
        <w:br/>
        <w:t xml:space="preserve">nt </w:t>
        <w:br/>
        <w:t xml:space="preserve">As at and for the </w:t>
        <w:br/>
        <w:t xml:space="preserve">2024-08-04 </w:t>
        <w:br/>
        <w:t xml:space="preserve">period ended </w:t>
        <w:br/>
        <w:t xml:space="preserve">June 30, 2015-08-25 </w:t>
        <w:br/>
        <w:t xml:space="preserve">Fiscal </w:t>
        <w:br/>
        <w:t xml:space="preserve">2011-04-07 </w:t>
        <w:br/>
        <w:t xml:space="preserve">Fiscal </w:t>
        <w:br/>
        <w:t xml:space="preserve">1994-02-10 </w:t>
        <w:br/>
        <w:t xml:space="preserve">Fiscal </w:t>
        <w:br/>
        <w:t xml:space="preserve">2023 </w:t>
        <w:br/>
        <w:t>T</w:t>
        <w:br/>
        <w:t>o</w:t>
        <w:br/>
        <w:t>t</w:t>
        <w:br/>
        <w:t>a</w:t>
        <w:br/>
        <w:t xml:space="preserve">l </w:t>
        <w:br/>
        <w:t>D</w:t>
        <w:br/>
        <w:t>u</w:t>
        <w:br/>
        <w:t>e</w:t>
        <w:br/>
        <w:t xml:space="preserve">s </w:t>
        <w:br/>
        <w:t>(</w:t>
        <w:br/>
        <w:t>i</w:t>
        <w:br/>
        <w:t xml:space="preserve">n </w:t>
        <w:br/>
        <w:t>m</w:t>
        <w:br/>
        <w:t>i</w:t>
        <w:br/>
        <w:t>l</w:t>
        <w:br/>
        <w:t>l</w:t>
        <w:br/>
        <w:t>i</w:t>
        <w:br/>
        <w:t xml:space="preserve">o </w:t>
        <w:br/>
        <w:t xml:space="preserve">ns) </w:t>
        <w:br/>
        <w:t>P</w:t>
        <w:br/>
        <w:t>a</w:t>
        <w:br/>
        <w:t>i</w:t>
        <w:br/>
        <w:t xml:space="preserve">d </w:t>
        <w:br/>
        <w:t>(</w:t>
        <w:br/>
        <w:t>i</w:t>
        <w:br/>
        <w:t xml:space="preserve">n </w:t>
        <w:br/>
        <w:t>m</w:t>
        <w:br/>
        <w:t>i</w:t>
        <w:br/>
        <w:t>l</w:t>
        <w:br/>
        <w:t>l</w:t>
        <w:br/>
        <w:t>i</w:t>
        <w:br/>
        <w:t xml:space="preserve">o </w:t>
        <w:br/>
        <w:t>n</w:t>
        <w:br/>
        <w:t>s</w:t>
        <w:br/>
        <w:t xml:space="preserve">) </w:t>
        <w:br/>
        <w:t>Galvan-Ruiz</w:t>
        <w:br/>
        <w:t xml:space="preserve">i </w:t>
        <w:br/>
        <w:t xml:space="preserve">d </w:t>
        <w:br/>
        <w:t>(i</w:t>
        <w:br/>
        <w:t xml:space="preserve">n </w:t>
        <w:br/>
        <w:t>m</w:t>
        <w:br/>
        <w:t>ill</w:t>
        <w:br/>
        <w:t xml:space="preserve">io </w:t>
        <w:br/>
        <w:t>ns</w:t>
        <w:br/>
        <w:t xml:space="preserve">) </w:t>
        <w:br/>
        <w:t>To</w:t>
        <w:br/>
        <w:t xml:space="preserve">tal </w:t>
        <w:br/>
        <w:t>Du</w:t>
        <w:br/>
        <w:t xml:space="preserve">es </w:t>
        <w:br/>
        <w:t xml:space="preserve">(in </w:t>
        <w:br/>
        <w:t>mi</w:t>
        <w:br/>
        <w:t>llio</w:t>
        <w:br/>
        <w:t xml:space="preserve">ns </w:t>
        <w:br/>
        <w:t xml:space="preserve">) </w:t>
        <w:br/>
        <w:t>P</w:t>
        <w:br/>
        <w:t>ai</w:t>
        <w:br/>
        <w:t xml:space="preserve">d </w:t>
        <w:br/>
        <w:t>(i</w:t>
        <w:br/>
        <w:t xml:space="preserve">n </w:t>
        <w:br/>
        <w:t>m</w:t>
        <w:br/>
        <w:t>ill</w:t>
        <w:br/>
        <w:t>io</w:t>
        <w:br/>
        <w:t xml:space="preserve">n </w:t>
        <w:br/>
        <w:t xml:space="preserve">s) </w:t>
        <w:br/>
        <w:t>Hawkins Inc</w:t>
        <w:br/>
        <w:t xml:space="preserve">i d </w:t>
        <w:br/>
        <w:t>(i</w:t>
        <w:br/>
        <w:t xml:space="preserve">n </w:t>
        <w:br/>
        <w:t>m</w:t>
        <w:br/>
        <w:t xml:space="preserve">Fitzgerald-Scott) </w:t>
        <w:br/>
        <w:t>T</w:t>
        <w:br/>
        <w:t>o</w:t>
        <w:br/>
        <w:t>t</w:t>
        <w:br/>
        <w:t>a</w:t>
        <w:br/>
        <w:t xml:space="preserve">l </w:t>
        <w:br/>
        <w:t>D</w:t>
        <w:br/>
        <w:t>u</w:t>
        <w:br/>
        <w:t>e</w:t>
        <w:br/>
        <w:t xml:space="preserve">s </w:t>
        <w:br/>
        <w:t>(</w:t>
        <w:br/>
        <w:t>i</w:t>
        <w:br/>
        <w:t xml:space="preserve">n </w:t>
        <w:br/>
        <w:t>m</w:t>
        <w:br/>
        <w:t>i</w:t>
        <w:br/>
        <w:t>l</w:t>
        <w:br/>
        <w:t>l</w:t>
        <w:br/>
        <w:t>i</w:t>
        <w:br/>
        <w:t xml:space="preserve">o </w:t>
        <w:br/>
        <w:t xml:space="preserve">ns) </w:t>
        <w:br/>
        <w:t>P</w:t>
        <w:br/>
        <w:t>a</w:t>
        <w:br/>
        <w:t>i</w:t>
        <w:br/>
        <w:t xml:space="preserve">d </w:t>
        <w:br/>
        <w:t>(</w:t>
        <w:br/>
        <w:t>i</w:t>
        <w:br/>
        <w:t xml:space="preserve">n </w:t>
        <w:br/>
        <w:t>m</w:t>
        <w:br/>
        <w:t>i</w:t>
        <w:br/>
        <w:t>l</w:t>
        <w:br/>
        <w:t>l</w:t>
        <w:br/>
        <w:t>i</w:t>
        <w:br/>
        <w:t xml:space="preserve">o </w:t>
        <w:br/>
        <w:t>n</w:t>
        <w:br/>
        <w:t>s</w:t>
        <w:br/>
        <w:t xml:space="preserve">) </w:t>
        <w:br/>
        <w:t>Reeves Ltd</w:t>
        <w:br/>
        <w:t xml:space="preserve">i d </w:t>
        <w:br/>
        <w:t>(i</w:t>
        <w:br/>
        <w:t xml:space="preserve">n </w:t>
        <w:br/>
        <w:t>m</w:t>
        <w:br/>
        <w:t xml:space="preserve">Mccann-Sanders) </w:t>
        <w:br/>
        <w:t>T</w:t>
        <w:br/>
        <w:t>o</w:t>
        <w:br/>
        <w:t>t</w:t>
        <w:br/>
        <w:t>a</w:t>
        <w:br/>
        <w:t xml:space="preserve">l </w:t>
        <w:br/>
        <w:t>D</w:t>
        <w:br/>
        <w:t>u</w:t>
        <w:br/>
        <w:t>e</w:t>
        <w:br/>
        <w:t xml:space="preserve">s </w:t>
        <w:br/>
        <w:t>(</w:t>
        <w:br/>
        <w:t>i</w:t>
        <w:br/>
        <w:t xml:space="preserve">n </w:t>
        <w:br/>
        <w:t>m</w:t>
        <w:br/>
        <w:t>i</w:t>
        <w:br/>
        <w:t>l</w:t>
        <w:br/>
        <w:t>l</w:t>
        <w:br/>
        <w:t>i</w:t>
        <w:br/>
        <w:t xml:space="preserve">o </w:t>
        <w:br/>
        <w:t xml:space="preserve">ns) </w:t>
        <w:br/>
        <w:t>P</w:t>
        <w:br/>
        <w:t>a</w:t>
        <w:br/>
        <w:t>i</w:t>
        <w:br/>
        <w:t xml:space="preserve">d </w:t>
        <w:br/>
        <w:t>(</w:t>
        <w:br/>
        <w:t>i</w:t>
        <w:br/>
        <w:t xml:space="preserve">n </w:t>
        <w:br/>
        <w:t>m</w:t>
        <w:br/>
        <w:t>i</w:t>
        <w:br/>
        <w:t>l</w:t>
        <w:br/>
        <w:t>l</w:t>
        <w:br/>
        <w:t>i</w:t>
        <w:br/>
        <w:t xml:space="preserve">o </w:t>
        <w:br/>
        <w:t>n</w:t>
        <w:br/>
        <w:t>s</w:t>
        <w:br/>
        <w:t xml:space="preserve">) </w:t>
        <w:br/>
        <w:t>Holland, Miller and Harrison</w:t>
        <w:br/>
        <w:t xml:space="preserve">i d </w:t>
        <w:br/>
        <w:t>(i</w:t>
        <w:br/>
        <w:t xml:space="preserve">n </w:t>
        <w:br/>
        <w:t>m</w:t>
        <w:br/>
        <w:t xml:space="preserve">Solomon-Wood) </w:t>
        <w:br/>
      </w:r>
    </w:p>
    <w:p>
      <w:r>
        <w:br w:type="page"/>
      </w:r>
    </w:p>
    <w:p>
      <w:r>
        <w:t xml:space="preserve">81 </w:t>
        <w:br/>
        <w:t xml:space="preserve"> </w:t>
        <w:br/>
        <w:t>Employ</w:t>
        <w:br/>
        <w:t>Mccarthy Group</w:t>
        <w:br/>
        <w:t xml:space="preserve">tate </w:t>
        <w:br/>
        <w:t>Insura</w:t>
        <w:br/>
        <w:t xml:space="preserve">nce </w:t>
        <w:br/>
        <w:t>0.00</w:t>
        <w:br/>
        <w:t xml:space="preserve">* </w:t>
        <w:br/>
        <w:t>0.00</w:t>
        <w:br/>
        <w:t xml:space="preserve">* </w:t>
        <w:br/>
        <w:t xml:space="preserve">- </w:t>
        <w:br/>
        <w:t xml:space="preserve">0.03 </w:t>
        <w:br/>
        <w:t xml:space="preserve">0.03 </w:t>
        <w:br/>
        <w:t xml:space="preserve">- </w:t>
        <w:br/>
        <w:t>0</w:t>
        <w:br/>
        <w:t>.</w:t>
        <w:br/>
        <w:t>0</w:t>
        <w:br/>
        <w:t xml:space="preserve">3 </w:t>
        <w:br/>
        <w:t>0.</w:t>
        <w:br/>
        <w:t xml:space="preserve">03 </w:t>
        <w:br/>
        <w:t xml:space="preserve">- </w:t>
        <w:br/>
        <w:t xml:space="preserve">0.09 </w:t>
        <w:br/>
        <w:t xml:space="preserve">0.09 </w:t>
        <w:br/>
        <w:t xml:space="preserve">- </w:t>
        <w:br/>
        <w:t>Provide</w:t>
        <w:br/>
        <w:t xml:space="preserve">nt Fund# </w:t>
        <w:br/>
        <w:t xml:space="preserve">3.50 </w:t>
        <w:br/>
        <w:t xml:space="preserve">3.50 </w:t>
        <w:br/>
        <w:t xml:space="preserve">- </w:t>
        <w:br/>
        <w:t xml:space="preserve">12.15 </w:t>
        <w:br/>
        <w:t xml:space="preserve">12.15 </w:t>
        <w:br/>
        <w:t xml:space="preserve">- </w:t>
        <w:br/>
        <w:t>11.1</w:t>
        <w:br/>
        <w:t xml:space="preserve">5 </w:t>
        <w:br/>
        <w:t>11.1</w:t>
        <w:br/>
        <w:t xml:space="preserve">5 </w:t>
        <w:br/>
        <w:t xml:space="preserve">- </w:t>
        <w:br/>
        <w:t>10.0</w:t>
        <w:br/>
        <w:t xml:space="preserve">1 </w:t>
        <w:br/>
        <w:t>10.0</w:t>
        <w:br/>
        <w:t xml:space="preserve">1 </w:t>
        <w:br/>
        <w:t xml:space="preserve">- </w:t>
        <w:br/>
        <w:t>Comp</w:t>
        <w:br/>
        <w:t xml:space="preserve">any </w:t>
        <w:br/>
        <w:t>Clifford Harrison</w:t>
        <w:br/>
        <w:t xml:space="preserve">ssion </w:t>
        <w:br/>
        <w:t xml:space="preserve">Fields, Gonzales and Lopez </w:t>
        <w:br/>
        <w:t xml:space="preserve">0.11 </w:t>
        <w:br/>
        <w:t xml:space="preserve">0.11 </w:t>
        <w:br/>
        <w:t xml:space="preserve">- </w:t>
        <w:br/>
        <w:t xml:space="preserve">0.42 </w:t>
        <w:br/>
        <w:t xml:space="preserve">0.42 </w:t>
        <w:br/>
        <w:t xml:space="preserve">- </w:t>
        <w:br/>
        <w:t>0</w:t>
        <w:br/>
        <w:t>.</w:t>
        <w:br/>
        <w:t>4</w:t>
        <w:br/>
        <w:t xml:space="preserve">0 </w:t>
        <w:br/>
        <w:t>0.</w:t>
        <w:br/>
        <w:t xml:space="preserve">40 </w:t>
        <w:br/>
        <w:t xml:space="preserve">- </w:t>
        <w:br/>
        <w:t xml:space="preserve">0.39 </w:t>
        <w:br/>
        <w:t xml:space="preserve">0.39 </w:t>
        <w:br/>
        <w:t xml:space="preserve">- </w:t>
        <w:br/>
        <w:t xml:space="preserve">Tax </w:t>
        <w:br/>
        <w:t>Dedu</w:t>
        <w:br/>
        <w:t xml:space="preserve">cted </w:t>
        <w:br/>
        <w:t xml:space="preserve">at </w:t>
        <w:br/>
        <w:t>Sourc</w:t>
        <w:br/>
        <w:t xml:space="preserve">e </w:t>
        <w:br/>
        <w:t xml:space="preserve">u/s </w:t>
        <w:br/>
        <w:t xml:space="preserve">192B </w:t>
        <w:br/>
        <w:t>10.7</w:t>
        <w:br/>
        <w:t xml:space="preserve">7 </w:t>
        <w:br/>
        <w:t>10.7</w:t>
        <w:br/>
        <w:t xml:space="preserve">7 </w:t>
        <w:br/>
        <w:t xml:space="preserve">- </w:t>
        <w:br/>
        <w:t xml:space="preserve">11.50 </w:t>
        <w:br/>
        <w:t xml:space="preserve">11.50 </w:t>
        <w:br/>
        <w:t xml:space="preserve">- </w:t>
        <w:br/>
        <w:t>41.6</w:t>
        <w:br/>
        <w:t xml:space="preserve">5 </w:t>
        <w:br/>
        <w:t>41.6</w:t>
        <w:br/>
        <w:t xml:space="preserve">5 </w:t>
        <w:br/>
        <w:t xml:space="preserve">- </w:t>
        <w:br/>
        <w:t>52.0</w:t>
        <w:br/>
        <w:t xml:space="preserve">3 </w:t>
        <w:br/>
        <w:t>52.0</w:t>
        <w:br/>
        <w:t xml:space="preserve">3 </w:t>
        <w:br/>
        <w:t xml:space="preserve">- </w:t>
        <w:br/>
        <w:t xml:space="preserve"> </w:t>
        <w:br/>
      </w:r>
    </w:p>
    <w:p>
      <w:r>
        <w:br w:type="page"/>
      </w:r>
    </w:p>
    <w:p>
      <w:r>
        <w:t xml:space="preserve">82 </w:t>
        <w:br/>
        <w:t xml:space="preserve"> </w:t>
        <w:br/>
        <w:t xml:space="preserve"> </w:t>
        <w:br/>
        <w:t xml:space="preserve"> </w:t>
        <w:br/>
        <w:t xml:space="preserve"> </w:t>
        <w:br/>
        <w:t xml:space="preserve"> </w:t>
        <w:br/>
        <w:t xml:space="preserve">Nature </w:t>
        <w:br/>
        <w:t xml:space="preserve">of </w:t>
        <w:br/>
        <w:t>Payme</w:t>
        <w:br/>
        <w:t xml:space="preserve">nt </w:t>
        <w:br/>
        <w:t xml:space="preserve">As at and for the </w:t>
        <w:br/>
        <w:t xml:space="preserve">1996-10-28 </w:t>
        <w:br/>
        <w:t xml:space="preserve">period ended 1978-04-21, 2016-04-26 </w:t>
        <w:br/>
        <w:t xml:space="preserve">Fiscal </w:t>
        <w:br/>
        <w:t xml:space="preserve">2016-05-13 </w:t>
        <w:br/>
        <w:t xml:space="preserve">Fiscal </w:t>
        <w:br/>
        <w:t xml:space="preserve">1989-05-06 </w:t>
        <w:br/>
        <w:t xml:space="preserve">Fiscal </w:t>
        <w:br/>
        <w:t xml:space="preserve">2023 </w:t>
        <w:br/>
        <w:t>T</w:t>
        <w:br/>
        <w:t>o</w:t>
        <w:br/>
        <w:t>t</w:t>
        <w:br/>
        <w:t>a</w:t>
        <w:br/>
        <w:t xml:space="preserve">l </w:t>
        <w:br/>
        <w:t>D</w:t>
        <w:br/>
        <w:t>u</w:t>
        <w:br/>
        <w:t>e</w:t>
        <w:br/>
        <w:t xml:space="preserve">s </w:t>
        <w:br/>
        <w:t>(</w:t>
        <w:br/>
        <w:t>i</w:t>
        <w:br/>
        <w:t xml:space="preserve">n </w:t>
        <w:br/>
        <w:t>m</w:t>
        <w:br/>
        <w:t>i</w:t>
        <w:br/>
        <w:t>l</w:t>
        <w:br/>
        <w:t>l</w:t>
        <w:br/>
        <w:t>i</w:t>
        <w:br/>
        <w:t xml:space="preserve">o </w:t>
        <w:br/>
        <w:t xml:space="preserve">ns) </w:t>
        <w:br/>
        <w:t>P</w:t>
        <w:br/>
        <w:t>a</w:t>
        <w:br/>
        <w:t>i</w:t>
        <w:br/>
        <w:t xml:space="preserve">d </w:t>
        <w:br/>
        <w:t>(</w:t>
        <w:br/>
        <w:t>i</w:t>
        <w:br/>
        <w:t xml:space="preserve">n </w:t>
        <w:br/>
        <w:t>m</w:t>
        <w:br/>
        <w:t>i</w:t>
        <w:br/>
        <w:t>l</w:t>
        <w:br/>
        <w:t>l</w:t>
        <w:br/>
        <w:t>i</w:t>
        <w:br/>
        <w:t xml:space="preserve">o </w:t>
        <w:br/>
        <w:t>n</w:t>
        <w:br/>
        <w:t>s</w:t>
        <w:br/>
        <w:t xml:space="preserve">) </w:t>
        <w:br/>
        <w:t>Clay Inc</w:t>
        <w:br/>
        <w:t xml:space="preserve">i </w:t>
        <w:br/>
        <w:t xml:space="preserve">d </w:t>
        <w:br/>
        <w:t>(i</w:t>
        <w:br/>
        <w:t xml:space="preserve">n </w:t>
        <w:br/>
        <w:t>m</w:t>
        <w:br/>
        <w:t>ill</w:t>
        <w:br/>
        <w:t xml:space="preserve">io </w:t>
        <w:br/>
        <w:t>ns</w:t>
        <w:br/>
        <w:t xml:space="preserve">) </w:t>
        <w:br/>
        <w:t>To</w:t>
        <w:br/>
        <w:t xml:space="preserve">tal </w:t>
        <w:br/>
        <w:t>Du</w:t>
        <w:br/>
        <w:t xml:space="preserve">es </w:t>
        <w:br/>
        <w:t xml:space="preserve">(in </w:t>
        <w:br/>
        <w:t>mi</w:t>
        <w:br/>
        <w:t>llio</w:t>
        <w:br/>
        <w:t xml:space="preserve">ns </w:t>
        <w:br/>
        <w:t xml:space="preserve">) </w:t>
        <w:br/>
        <w:t>P</w:t>
        <w:br/>
        <w:t>ai</w:t>
        <w:br/>
        <w:t xml:space="preserve">d </w:t>
        <w:br/>
        <w:t>(i</w:t>
        <w:br/>
        <w:t xml:space="preserve">n </w:t>
        <w:br/>
        <w:t>m</w:t>
        <w:br/>
        <w:t>ill</w:t>
        <w:br/>
        <w:t>io</w:t>
        <w:br/>
        <w:t xml:space="preserve">n </w:t>
        <w:br/>
        <w:t xml:space="preserve">s) </w:t>
        <w:br/>
        <w:t>Tate Ltd</w:t>
        <w:br/>
        <w:t xml:space="preserve">i d </w:t>
        <w:br/>
        <w:t>(i</w:t>
        <w:br/>
        <w:t xml:space="preserve">n </w:t>
        <w:br/>
        <w:t>m</w:t>
        <w:br/>
        <w:t xml:space="preserve">Wang, White and Knapp) </w:t>
        <w:br/>
        <w:t>T</w:t>
        <w:br/>
        <w:t>o</w:t>
        <w:br/>
        <w:t>t</w:t>
        <w:br/>
        <w:t>a</w:t>
        <w:br/>
        <w:t xml:space="preserve">l </w:t>
        <w:br/>
        <w:t>D</w:t>
        <w:br/>
        <w:t>u</w:t>
        <w:br/>
        <w:t>e</w:t>
        <w:br/>
        <w:t xml:space="preserve">s </w:t>
        <w:br/>
        <w:t>(</w:t>
        <w:br/>
        <w:t>i</w:t>
        <w:br/>
        <w:t xml:space="preserve">n </w:t>
        <w:br/>
        <w:t>m</w:t>
        <w:br/>
        <w:t>i</w:t>
        <w:br/>
        <w:t>l</w:t>
        <w:br/>
        <w:t>l</w:t>
        <w:br/>
        <w:t>i</w:t>
        <w:br/>
        <w:t xml:space="preserve">o </w:t>
        <w:br/>
        <w:t xml:space="preserve">ns) </w:t>
        <w:br/>
        <w:t>P</w:t>
        <w:br/>
        <w:t>a</w:t>
        <w:br/>
        <w:t>i</w:t>
        <w:br/>
        <w:t xml:space="preserve">d </w:t>
        <w:br/>
        <w:t>(</w:t>
        <w:br/>
        <w:t>i</w:t>
        <w:br/>
        <w:t xml:space="preserve">n </w:t>
        <w:br/>
        <w:t>m</w:t>
        <w:br/>
        <w:t>i</w:t>
        <w:br/>
        <w:t>l</w:t>
        <w:br/>
        <w:t>l</w:t>
        <w:br/>
        <w:t>i</w:t>
        <w:br/>
        <w:t xml:space="preserve">o </w:t>
        <w:br/>
        <w:t>n</w:t>
        <w:br/>
        <w:t>s</w:t>
        <w:br/>
        <w:t xml:space="preserve">) </w:t>
        <w:br/>
        <w:t>Silva Inc</w:t>
        <w:br/>
        <w:t xml:space="preserve">i d </w:t>
        <w:br/>
        <w:t>(i</w:t>
        <w:br/>
        <w:t xml:space="preserve">n </w:t>
        <w:br/>
        <w:t>m</w:t>
        <w:br/>
        <w:t xml:space="preserve">Carson, Elliott and Alvarado) </w:t>
        <w:br/>
        <w:t>T</w:t>
        <w:br/>
        <w:t>o</w:t>
        <w:br/>
        <w:t>t</w:t>
        <w:br/>
        <w:t>a</w:t>
        <w:br/>
        <w:t xml:space="preserve">l </w:t>
        <w:br/>
        <w:t>D</w:t>
        <w:br/>
        <w:t>u</w:t>
        <w:br/>
        <w:t>e</w:t>
        <w:br/>
        <w:t xml:space="preserve">s </w:t>
        <w:br/>
        <w:t>(</w:t>
        <w:br/>
        <w:t>i</w:t>
        <w:br/>
        <w:t xml:space="preserve">n </w:t>
        <w:br/>
        <w:t>m</w:t>
        <w:br/>
        <w:t>i</w:t>
        <w:br/>
        <w:t>l</w:t>
        <w:br/>
        <w:t>l</w:t>
        <w:br/>
        <w:t>i</w:t>
        <w:br/>
        <w:t xml:space="preserve">o </w:t>
        <w:br/>
        <w:t xml:space="preserve">ns) </w:t>
        <w:br/>
        <w:t>P</w:t>
        <w:br/>
        <w:t>a</w:t>
        <w:br/>
        <w:t>i</w:t>
        <w:br/>
        <w:t xml:space="preserve">d </w:t>
        <w:br/>
        <w:t>(</w:t>
        <w:br/>
        <w:t>i</w:t>
        <w:br/>
        <w:t xml:space="preserve">n </w:t>
        <w:br/>
        <w:t>m</w:t>
        <w:br/>
        <w:t>i</w:t>
        <w:br/>
        <w:t>l</w:t>
        <w:br/>
        <w:t>l</w:t>
        <w:br/>
        <w:t>i</w:t>
        <w:br/>
        <w:t xml:space="preserve">o </w:t>
        <w:br/>
        <w:t>n</w:t>
        <w:br/>
        <w:t>s</w:t>
        <w:br/>
        <w:t xml:space="preserve">) </w:t>
        <w:br/>
        <w:t>White-Jackson</w:t>
        <w:br/>
        <w:t xml:space="preserve">i d </w:t>
        <w:br/>
        <w:t>(i</w:t>
        <w:br/>
        <w:t xml:space="preserve">n </w:t>
        <w:br/>
        <w:t>m</w:t>
        <w:br/>
        <w:t xml:space="preserve">Camacho, Martinez and Davis) </w:t>
        <w:br/>
        <w:t>L</w:t>
        <w:br/>
        <w:t>a</w:t>
        <w:br/>
        <w:t>b</w:t>
        <w:br/>
        <w:t>o</w:t>
        <w:br/>
        <w:t>u</w:t>
        <w:br/>
        <w:t xml:space="preserve">r </w:t>
        <w:br/>
        <w:t>W</w:t>
        <w:br/>
        <w:t>e</w:t>
        <w:br/>
        <w:t>l</w:t>
        <w:br/>
        <w:t>f</w:t>
        <w:br/>
        <w:t>a</w:t>
        <w:br/>
        <w:t>r</w:t>
        <w:br/>
        <w:t xml:space="preserve">e </w:t>
        <w:br/>
        <w:t>Fun</w:t>
        <w:br/>
        <w:t xml:space="preserve">d </w:t>
        <w:br/>
        <w:t xml:space="preserve">0.01 </w:t>
        <w:br/>
        <w:t xml:space="preserve">0.01 </w:t>
        <w:br/>
        <w:t xml:space="preserve">- </w:t>
        <w:br/>
        <w:t xml:space="preserve">0.02 </w:t>
        <w:br/>
        <w:t xml:space="preserve">0.02 </w:t>
        <w:br/>
        <w:t xml:space="preserve">- </w:t>
        <w:br/>
        <w:t>0</w:t>
        <w:br/>
        <w:t>.</w:t>
        <w:br/>
        <w:t>0</w:t>
        <w:br/>
        <w:t xml:space="preserve">1 </w:t>
        <w:br/>
        <w:t>0.</w:t>
        <w:br/>
        <w:t xml:space="preserve">01 </w:t>
        <w:br/>
        <w:t xml:space="preserve">- </w:t>
        <w:br/>
        <w:t xml:space="preserve">0.01 </w:t>
        <w:br/>
        <w:t xml:space="preserve">0.01 </w:t>
        <w:br/>
        <w:t xml:space="preserve">- </w:t>
        <w:br/>
        <w:t>Good</w:t>
        <w:br/>
        <w:t xml:space="preserve">s and </w:t>
        <w:br/>
        <w:t>Servi</w:t>
        <w:br/>
        <w:t xml:space="preserve">ces </w:t>
        <w:br/>
        <w:t xml:space="preserve">Tax&amp; </w:t>
        <w:br/>
        <w:t>30.5</w:t>
        <w:br/>
        <w:t xml:space="preserve">6 </w:t>
        <w:br/>
        <w:t>30.6</w:t>
        <w:br/>
        <w:t xml:space="preserve">5 </w:t>
        <w:br/>
        <w:t xml:space="preserve">- </w:t>
        <w:br/>
        <w:t xml:space="preserve">98.95 </w:t>
        <w:br/>
        <w:t xml:space="preserve">98.95 </w:t>
        <w:br/>
        <w:t xml:space="preserve">- </w:t>
        <w:br/>
        <w:t>39.9</w:t>
        <w:br/>
        <w:t xml:space="preserve">2 </w:t>
        <w:br/>
        <w:t>39.9</w:t>
        <w:br/>
        <w:t xml:space="preserve">2 </w:t>
        <w:br/>
        <w:t xml:space="preserve">- </w:t>
        <w:br/>
        <w:t>17.6</w:t>
        <w:br/>
        <w:t xml:space="preserve">1 </w:t>
        <w:br/>
        <w:t>17.6</w:t>
        <w:br/>
        <w:t xml:space="preserve">1 </w:t>
        <w:br/>
        <w:t xml:space="preserve">- </w:t>
        <w:br/>
        <w:t xml:space="preserve">Total </w:t>
        <w:br/>
        <w:t>44.9</w:t>
        <w:br/>
        <w:t xml:space="preserve">5 </w:t>
        <w:br/>
        <w:t>44.9</w:t>
        <w:br/>
        <w:t xml:space="preserve">5 </w:t>
        <w:br/>
        <w:t xml:space="preserve"> </w:t>
        <w:br/>
        <w:t xml:space="preserve">123.07 </w:t>
        <w:br/>
        <w:t>123.0</w:t>
        <w:br/>
        <w:t xml:space="preserve">7 </w:t>
        <w:br/>
        <w:t xml:space="preserve">- </w:t>
        <w:br/>
        <w:t>93.1</w:t>
        <w:br/>
        <w:t xml:space="preserve">7 </w:t>
        <w:br/>
        <w:t>9</w:t>
        <w:br/>
        <w:t>3</w:t>
        <w:br/>
        <w:t>.</w:t>
        <w:br/>
        <w:t>1</w:t>
        <w:br/>
        <w:t xml:space="preserve">7 </w:t>
        <w:br/>
        <w:t xml:space="preserve">- </w:t>
        <w:br/>
        <w:t>80.1</w:t>
        <w:br/>
        <w:t xml:space="preserve">4 </w:t>
        <w:br/>
        <w:t>80.1</w:t>
        <w:br/>
        <w:t xml:space="preserve">4 </w:t>
        <w:br/>
        <w:t xml:space="preserve">- </w:t>
        <w:br/>
        <w:t xml:space="preserve">No   of </w:t>
        <w:br/>
        <w:t>Judith Rodriguez</w:t>
        <w:br/>
        <w:t xml:space="preserve">yee </w:t>
        <w:br/>
        <w:t xml:space="preserve">s </w:t>
        <w:br/>
        <w:t xml:space="preserve">as </w:t>
        <w:br/>
        <w:t xml:space="preserve">at </w:t>
        <w:br/>
        <w:t>period/</w:t>
        <w:br/>
        <w:t xml:space="preserve">yea </w:t>
        <w:br/>
        <w:t xml:space="preserve">r </w:t>
        <w:br/>
        <w:t xml:space="preserve">end* </w:t>
        <w:br/>
        <w:t xml:space="preserve">189 </w:t>
        <w:br/>
        <w:t xml:space="preserve">178 </w:t>
        <w:br/>
        <w:t xml:space="preserve">168 </w:t>
        <w:br/>
        <w:t xml:space="preserve">161 </w:t>
        <w:br/>
        <w:t xml:space="preserve"> </w:t>
        <w:br/>
        <w:t xml:space="preserve">Note: </w:t>
        <w:br/>
        <w:t xml:space="preserve">1) The number of employees mentioned in the above table differ for every statutory due basis eligibility under respective acts. </w:t>
        <w:br/>
        <w:t xml:space="preserve">2) *excludes contractual employees. </w:t>
        <w:br/>
        <w:t xml:space="preserve">Alexander Ltd includes only payment of taxes in cash. </w:t>
        <w:br/>
        <w:t xml:space="preserve"># Employer and Employee Contribution. </w:t>
        <w:br/>
        <w:t xml:space="preserve"> </w:t>
        <w:br/>
        <w:t xml:space="preserve">The above-mentioned instances of delay in the payment of statutory dues were primarily due to operational reasons </w:t>
        <w:br/>
        <w:t xml:space="preserve">that were beyond the control of our Company. For instance, the delay in the payment of dues in respect of Carney Group and employees state insurance were on account of payment of salaries in arrears and the delay in relation to </w:t>
        <w:br/>
        <w:t xml:space="preserve">payment of tax deducted at source was on account of belated receipt of invoices. Our Company has adopted various </w:t>
        <w:br/>
        <w:t xml:space="preserve">measures, including assigning the responsibility of maintaining checks and balances across relevant processes, with </w:t>
        <w:br/>
      </w:r>
    </w:p>
    <w:p>
      <w:r>
        <w:br w:type="page"/>
      </w:r>
    </w:p>
    <w:p>
      <w:r>
        <w:t xml:space="preserve">1971-12-19 </w:t>
        <w:br/>
        <w:t xml:space="preserve"> </w:t>
        <w:br/>
        <w:t xml:space="preserve">the specific objective of preventing such statutory delays. Additionally, we aim to conduct awareness sessions for the </w:t>
        <w:br/>
        <w:t xml:space="preserve">finance and human resources teams to improve understanding and compliance with applicable statutory obligations </w:t>
        <w:br/>
        <w:t xml:space="preserve">and implementing an internal escalation mechanism to identify and resolve operational gaps on a timely basis. </w:t>
        <w:br/>
        <w:t xml:space="preserve">Additionally, close coordination with suppliers and service providers has been initiated to ensure timely submission of </w:t>
        <w:br/>
        <w:t xml:space="preserve">invoices and supporting documentation, thereby facilitating accurate and timely tax computations and remittances </w:t>
        <w:br/>
        <w:t xml:space="preserve">within prescribed timelines. While no penalty or fine has been levied by the appropriate authorities against us for the </w:t>
        <w:br/>
        <w:t xml:space="preserve">aforementioned delays, we cannot assure you that we will not be subject to such penalties and fines in the future which </w:t>
        <w:br/>
        <w:t xml:space="preserve">may have a material adverse impact on our financial condition and cash flows. </w:t>
        <w:br/>
        <w:t xml:space="preserve">23. </w:t>
        <w:br/>
        <w:t xml:space="preserve">Our operations involve activities and materials which are hazardous in nature and could result in a suspension of </w:t>
        <w:br/>
        <w:t xml:space="preserve">operations, injury to our personnel, emission of pollutants and/or the imposition of civil or criminal liabilities which </w:t>
        <w:br/>
        <w:t xml:space="preserve">could adversely affect our business, results of operations, cash flow and financial condition. </w:t>
        <w:br/>
        <w:t xml:space="preserve">Certain operations at our manufacturing facilities can cause accidents during the manufacturing process resulting in </w:t>
        <w:br/>
        <w:t xml:space="preserve">serious injuries or death of employees or other persons, if improperly handled, and cause damage to our properties or </w:t>
        <w:br/>
        <w:t xml:space="preserve">equipment and the properties of others or to the environment. Despite ensuring that employee safety manuals covering </w:t>
        <w:br/>
        <w:t xml:space="preserve">employee safety and environmental procedures are in place and that hazard identification and risk assessments with </w:t>
        <w:br/>
        <w:t xml:space="preserve">respect to our operations are periodically carried out, our operations are subject to significant hazards, including </w:t>
        <w:br/>
        <w:t xml:space="preserve">explosions, fires, mechanical failures and other operational problems, inclement weather and natural disasters, </w:t>
        <w:br/>
        <w:t xml:space="preserve">discharges or releases of hazardous substances and other environmental risks. In the 1980-06-19 period ended 1992-01-07, and Fiscals 2025, 1977-03-21 and 2010-03-04, we have experienced one accident at one of our manufacturing facilities </w:t>
        <w:br/>
        <w:t xml:space="preserve">in 1995-06-03. Despite our best efforts to meet the safety standards and take necessary precautions to curb possibility </w:t>
        <w:br/>
        <w:t xml:space="preserve">of occurrence of such instances, we cannot assure you that such accidents will not occur in the future. </w:t>
        <w:br/>
        <w:t xml:space="preserve">The occurrence of any of these hazards could result in a suspension of operations and/or the imposition of civil or </w:t>
        <w:br/>
        <w:t xml:space="preserve">criminal liabilities. We may also face claims and litigation, filed on behalf of persons alleging injury predominantly as </w:t>
        <w:br/>
        <w:t xml:space="preserve">a result of occupational exposure to hazards at our facilities. If these claims and lawsuits, individually or in the </w:t>
        <w:br/>
        <w:t xml:space="preserve">aggregate, are resolved against us, our business, results of operations, cash flows and financial condition could be </w:t>
        <w:br/>
        <w:t xml:space="preserve">adversely affected. Further, our customers may require us to invest in additional safety protocols which impose </w:t>
        <w:br/>
        <w:t xml:space="preserve">incremental expenses and may impact our ability to operate at optimum efficiencies. Any such action by any of our </w:t>
        <w:br/>
        <w:t xml:space="preserve">customers may adversely impact our business, results of operations, cash flows and financial condition. </w:t>
        <w:br/>
      </w:r>
    </w:p>
    <w:p>
      <w:r>
        <w:br w:type="page"/>
      </w:r>
    </w:p>
    <w:p>
      <w:r>
        <w:t xml:space="preserve">84 </w:t>
        <w:br/>
        <w:t xml:space="preserve"> </w:t>
        <w:br/>
        <w:t xml:space="preserve">24. </w:t>
        <w:br/>
        <w:t xml:space="preserve">We have substantial requirements for power and fuel for our manufacturing facilities and any disruption in the </w:t>
        <w:br/>
        <w:t xml:space="preserve">supply or increase in tariff may adversely affect our business, results of operations, and financial condition. </w:t>
        <w:br/>
        <w:t xml:space="preserve">We have power and fuel requirements for our manufacturing facilities. In a situation where our costs towards power </w:t>
        <w:br/>
        <w:t xml:space="preserve">and fuel were to increase or if there were any disruption in their supply to our manufacturing facilities, it could have </w:t>
        <w:br/>
        <w:t xml:space="preserve">an adverse effect on our business, results of operations, and financial condition. Set forth below are details in relation </w:t>
        <w:br/>
        <w:t xml:space="preserve">to our power and fuel costs for the period/ Natasha Payne indicated: </w:t>
        <w:br/>
        <w:t xml:space="preserve"> </w:t>
        <w:br/>
        <w:t>Particula</w:t>
        <w:br/>
        <w:t xml:space="preserve">rs </w:t>
        <w:br/>
        <w:t xml:space="preserve">1991-12-29 </w:t>
        <w:br/>
        <w:t>perio</w:t>
        <w:br/>
        <w:t xml:space="preserve">d </w:t>
        <w:br/>
        <w:t xml:space="preserve">ended </w:t>
        <w:br/>
        <w:t xml:space="preserve">June </w:t>
        <w:br/>
        <w:t xml:space="preserve">30, </w:t>
        <w:br/>
        <w:t xml:space="preserve">1989-04-03 </w:t>
        <w:br/>
        <w:t xml:space="preserve">Fiscal </w:t>
        <w:br/>
        <w:t xml:space="preserve">2013-10-19 </w:t>
        <w:br/>
        <w:t xml:space="preserve">Fiscal </w:t>
        <w:br/>
        <w:t xml:space="preserve">2024-07-18 </w:t>
        <w:br/>
        <w:t xml:space="preserve">Fiscal </w:t>
        <w:br/>
        <w:t xml:space="preserve">2023 </w:t>
        <w:br/>
        <w:t xml:space="preserve">Power and fuel cost (₹ </w:t>
        <w:br/>
        <w:t xml:space="preserve">in million) </w:t>
        <w:br/>
        <w:t xml:space="preserve">56.37 </w:t>
        <w:br/>
        <w:t xml:space="preserve">221.78 </w:t>
        <w:br/>
        <w:t xml:space="preserve">197.53 </w:t>
        <w:br/>
        <w:t xml:space="preserve">156.38 </w:t>
        <w:br/>
        <w:t xml:space="preserve">Percentage </w:t>
        <w:br/>
        <w:t>of</w:t>
        <w:br/>
        <w:t xml:space="preserve"> </w:t>
        <w:br/>
        <w:t xml:space="preserve">total </w:t>
        <w:br/>
        <w:t xml:space="preserve">expenses (%) </w:t>
        <w:br/>
        <w:t xml:space="preserve">1.07% </w:t>
        <w:br/>
        <w:t xml:space="preserve">1.20% </w:t>
        <w:br/>
        <w:t xml:space="preserve">1.47% </w:t>
        <w:br/>
        <w:t xml:space="preserve">1.53% </w:t>
        <w:br/>
        <w:t xml:space="preserve"> </w:t>
        <w:br/>
        <w:t xml:space="preserve"> </w:t>
        <w:br/>
        <w:t xml:space="preserve">While we plan to install a 3.2 Lewis Inc rooftop solar power plant at our Supa Facility from a portion of Cooke, Meadows and Robles, </w:t>
        <w:br/>
        <w:t xml:space="preserve">we depend on third parties for our power and fuel requirements and source most of the electricity from state electricity </w:t>
        <w:br/>
        <w:t xml:space="preserve">boards. Any disruptions in the supply of such electricity, increase in tariffs, or decline in the quality of electricity </w:t>
        <w:br/>
        <w:t xml:space="preserve">supplied to us could significantly affect our cost of production and profitability. If energy costs were to rise, or if </w:t>
        <w:br/>
        <w:t xml:space="preserve">electricity supplies or supply arrangements were disrupted, our profitability could decline. Energy prices can be </w:t>
        <w:br/>
        <w:t xml:space="preserve">affected by numerous factors beyond our control, including global and regional supply and demand, carbon taxes, </w:t>
        <w:br/>
        <w:t xml:space="preserve">inflation, political and economic conditions, and applicable regulatory regime. </w:t>
        <w:br/>
        <w:t xml:space="preserve">We source most of our electricity requirements for our manufacturing facilities from local power suppliers or state </w:t>
        <w:br/>
        <w:t xml:space="preserve">electricity boards. If our electricity suppliers increase the price for electricity, our cost of production and profitability </w:t>
        <w:br/>
        <w:t xml:space="preserve">would be materially adversely affected. If for any reason electricity is not available for a prolonged period of time, we </w:t>
        <w:br/>
        <w:t xml:space="preserve">may need to shut down our plants until an adequate supply of electricity is restored. Interruptions of electricity supply </w:t>
        <w:br/>
        <w:t xml:space="preserve">can also result in production shutdowns, increased costs associated with restarting production and the loss of production </w:t>
        <w:br/>
        <w:t xml:space="preserve">in progress. Although we have not encountered any such material interruptions during the 1992-02-10 period ended </w:t>
        <w:br/>
        <w:t xml:space="preserve">June 30, 2000-10-31, or Fiscals 2025, 2012-05-08, and 2014-08-27, we cannot assure you that we will not experience such interruptions </w:t>
        <w:br/>
        <w:t xml:space="preserve">in the future. </w:t>
        <w:br/>
        <w:t xml:space="preserve">25. </w:t>
        <w:br/>
        <w:t xml:space="preserve">We are subject to counterparty credit risk and any delay in receiving payments or non-receipt of payments from </w:t>
        <w:br/>
        <w:t xml:space="preserve">our customers could have an adverse effect on our business, results of operations, financial condition and cash </w:t>
        <w:br/>
        <w:t xml:space="preserve">flows. </w:t>
        <w:br/>
        <w:t xml:space="preserve">Our operations involve extending credit to our customers in respect of sale of our products and consequently, we face </w:t>
        <w:br/>
        <w:t>the risk of uncertainty regarding the receipt of such outstanding amounts. The table below shows our bad debts written-</w:t>
        <w:br/>
        <w:t xml:space="preserve">off and provision for bad debts for the 1972-12-25 period ended 1992-06-01, and Fiscals 2025, 1970-05-25 and 2014-10-11, and </w:t>
        <w:br/>
        <w:t xml:space="preserve">such amounts as a percentage of our revenue from operations: </w:t>
        <w:br/>
        <w:t xml:space="preserve">(Fuller-Adams in million, except percentages) </w:t>
        <w:br/>
        <w:t>Particula</w:t>
        <w:br/>
        <w:t xml:space="preserve">rs </w:t>
        <w:br/>
        <w:t xml:space="preserve">2002-08-27 </w:t>
        <w:br/>
        <w:t xml:space="preserve">period </w:t>
        <w:br/>
        <w:t xml:space="preserve">ended </w:t>
        <w:br/>
        <w:t xml:space="preserve">2014-11-18, </w:t>
        <w:br/>
        <w:t xml:space="preserve">2018-02-28 </w:t>
        <w:br/>
        <w:t xml:space="preserve">Financial year </w:t>
        <w:br/>
        <w:t xml:space="preserve">ended </w:t>
        <w:br/>
        <w:t xml:space="preserve">2026-07-13, </w:t>
        <w:br/>
        <w:t xml:space="preserve">2001-04-27, </w:t>
        <w:br/>
        <w:t xml:space="preserve">1975-07-08, </w:t>
        <w:br/>
        <w:t xml:space="preserve">2023 </w:t>
        <w:br/>
        <w:t xml:space="preserve">Bad debts written off (A) </w:t>
        <w:br/>
        <w:t xml:space="preserve">0.00 </w:t>
        <w:br/>
        <w:t xml:space="preserve">0.00 </w:t>
        <w:br/>
        <w:t xml:space="preserve">0.24 </w:t>
        <w:br/>
        <w:t xml:space="preserve">0.00 </w:t>
        <w:br/>
        <w:t xml:space="preserve">Bad debts written off as a </w:t>
        <w:br/>
        <w:t xml:space="preserve">percentage of revenue from </w:t>
        <w:br/>
        <w:t xml:space="preserve">operations (B = A/E) (%) </w:t>
        <w:br/>
        <w:t xml:space="preserve">0.00% </w:t>
        <w:br/>
        <w:t xml:space="preserve">0.00% </w:t>
        <w:br/>
        <w:t xml:space="preserve">0.00% </w:t>
        <w:br/>
        <w:t xml:space="preserve">0.00% </w:t>
        <w:br/>
        <w:t xml:space="preserve">Provision for bad debt (C) </w:t>
        <w:br/>
        <w:t xml:space="preserve">0.00 </w:t>
        <w:br/>
        <w:t xml:space="preserve">0.65 </w:t>
        <w:br/>
        <w:t xml:space="preserve">13.59 </w:t>
        <w:br/>
        <w:t xml:space="preserve">17.81 </w:t>
        <w:br/>
        <w:t xml:space="preserve">Provision for bad debt as a </w:t>
        <w:br/>
        <w:t xml:space="preserve">percentage of revenue from </w:t>
        <w:br/>
        <w:t xml:space="preserve">operations (D = C/E) (%) </w:t>
        <w:br/>
        <w:t xml:space="preserve">0.00% </w:t>
        <w:br/>
        <w:t xml:space="preserve">0.00% </w:t>
        <w:br/>
        <w:t xml:space="preserve">0.10% </w:t>
        <w:br/>
        <w:t xml:space="preserve">0.17% </w:t>
        <w:br/>
      </w:r>
    </w:p>
    <w:p>
      <w:r>
        <w:br w:type="page"/>
      </w:r>
    </w:p>
    <w:p>
      <w:r>
        <w:t xml:space="preserve">85 </w:t>
        <w:br/>
        <w:t xml:space="preserve"> </w:t>
        <w:br/>
        <w:t xml:space="preserve">Revenue from operations (E) </w:t>
        <w:br/>
        <w:t xml:space="preserve">5,587.12 </w:t>
        <w:br/>
        <w:t xml:space="preserve">19,282.93 </w:t>
        <w:br/>
        <w:t xml:space="preserve">13,828.15 </w:t>
        <w:br/>
        <w:t xml:space="preserve">10,494.60 </w:t>
        <w:br/>
        <w:t xml:space="preserve"> </w:t>
        <w:br/>
        <w:t xml:space="preserve"> </w:t>
        <w:br/>
        <w:t xml:space="preserve">Any delay in receiving payment or default on their payment obligations to us, could lead to an increase in our </w:t>
        <w:br/>
        <w:t xml:space="preserve">receivables. Any significant delay in receiving payment or non-receipt of payments from our customers may adversely </w:t>
        <w:br/>
        <w:t xml:space="preserve">affect our business, results of operations, financial condition and cash flows. While we have not experienced any </w:t>
        <w:br/>
        <w:t xml:space="preserve">instances of significant delays in receiving payments which had an impact on our business, results of operations, </w:t>
        <w:br/>
        <w:t xml:space="preserve">financial condition and cash flows in the 1997-02-21 period ended 1976-04-19 or Fiscals 2025, 1995-12-15 and 2010-12-27, we </w:t>
        <w:br/>
        <w:t xml:space="preserve">cannot assure you that such instance will not arise in the future. </w:t>
        <w:br/>
      </w:r>
    </w:p>
    <w:p>
      <w:r>
        <w:br w:type="page"/>
      </w:r>
    </w:p>
    <w:p>
      <w:r>
        <w:t xml:space="preserve">86 </w:t>
        <w:br/>
        <w:t xml:space="preserve"> </w:t>
        <w:br/>
        <w:t xml:space="preserve">26. </w:t>
        <w:br/>
        <w:t xml:space="preserve">Our operations are dependent on our new product and process development, thus our inability to introduce new </w:t>
        <w:br/>
        <w:t xml:space="preserve">products and processes and respond to changing customer preferences in a timely and effective manner, may have </w:t>
        <w:br/>
        <w:t xml:space="preserve">an adverse effect on our business, results of operations and financial condition. </w:t>
        <w:br/>
        <w:t xml:space="preserve">As of 2004-11-20, we have a dedicated team of 20 employees focused on new product/ process development and </w:t>
        <w:br/>
        <w:t xml:space="preserve">maintenance. During the 1995-01-03 period ended 1976-07-16, and Fiscals 2025, 2015-04-16, and 1994-06-08, we have incurred </w:t>
        <w:br/>
        <w:t xml:space="preserve">₹4.49 million, Mckee-Munoz, ₹11.22 million and ₹9.31 million aggregating to 3.99%, 3.18%, 2.89% and 3.33% of </w:t>
        <w:br/>
        <w:t xml:space="preserve">the employee benefit expenses incurred during the respective period/ 2024-11-15, on the new product and process </w:t>
        <w:br/>
        <w:t xml:space="preserve">development team. Our focus on new product and process development has been critical to our success and has helped </w:t>
        <w:br/>
        <w:t xml:space="preserve">us develop an extensive range of winding wires. Our new product and process development team is responsible to </w:t>
        <w:br/>
        <w:t xml:space="preserve">define critical product attributes, select specific materials, and fine-tune manufacturing processes with inputs from our </w:t>
        <w:br/>
        <w:t xml:space="preserve">development engineers and customers. Our future growth may depend in part on our ability to respond to technological </w:t>
        <w:br/>
        <w:t xml:space="preserve">advancement and emerging standards, and practices on a cost-effective and timely basis. If we are unable to </w:t>
        <w:br/>
        <w:t xml:space="preserve">continuously develop new products or optimise our processes, our business, results of operations, financial condition </w:t>
        <w:br/>
        <w:t xml:space="preserve">and cash flows may be adversely affected. Further, delays in any part of the process, our inability to obtain necessary </w:t>
        <w:br/>
        <w:t xml:space="preserve">regulatory approvals for our products or failure of a product to be successful at any stage of its development will result </w:t>
        <w:br/>
        <w:t xml:space="preserve">in our inability to timely offer products that satisfy the market, which might allow competing products to emerge during </w:t>
        <w:br/>
        <w:t xml:space="preserve">the development and certification process and could adversely affect our business. Delays in introducing new products </w:t>
        <w:br/>
        <w:t xml:space="preserve">and enhancements, the failure to choose correctly among technical alternatives or the failure to offer innovative </w:t>
        <w:br/>
        <w:t xml:space="preserve">products or enhancements at competitive prices may cause existing and potential customers to purchase our </w:t>
        <w:br/>
        <w:t xml:space="preserve">competitors’ products. Though we strive to align our solutions with requirements of our customers, there can be no </w:t>
        <w:br/>
        <w:t xml:space="preserve">assurance that we will be able to secure the necessary knowledge through our own in-house product development that </w:t>
        <w:br/>
        <w:t xml:space="preserve">will allow us to continue to develop our offerings in accordance with the requirements of our customers and industry </w:t>
        <w:br/>
        <w:t xml:space="preserve">trends. </w:t>
        <w:br/>
        <w:t xml:space="preserve">27. </w:t>
        <w:br/>
        <w:t xml:space="preserve">Our ability to access capital at attractive costs depends on our credit ratings. Non-availability of credit ratings or a </w:t>
        <w:br/>
        <w:t xml:space="preserve">poor rating may restrict our access to capital and thereby adversely affect our business, financial conditions, cash </w:t>
        <w:br/>
        <w:t xml:space="preserve">flows and results of operations. </w:t>
        <w:br/>
        <w:t xml:space="preserve">The cost and availability of capital depends on our credit ratings. Set out below are our credit ratings received from </w:t>
        <w:br/>
        <w:t xml:space="preserve">Henry-Reynolds, in the 1978-03-17 period ended 1980-06-28, Fiscals 2025, 2014-07-05 and 2023: </w:t>
        <w:br/>
        <w:t xml:space="preserve"> </w:t>
        <w:br/>
        <w:t xml:space="preserve">Date </w:t>
        <w:br/>
        <w:t xml:space="preserve">Rating </w:t>
        <w:br/>
        <w:t>Outlo</w:t>
        <w:br/>
        <w:t xml:space="preserve">ok </w:t>
        <w:br/>
        <w:t xml:space="preserve">Mitchell-Goodwin </w:t>
        <w:br/>
        <w:t xml:space="preserve">1996-06-09, </w:t>
        <w:br/>
        <w:t xml:space="preserve">1981-02-01 </w:t>
        <w:br/>
        <w:t xml:space="preserve">‘CARE A-’ </w:t>
        <w:br/>
        <w:t xml:space="preserve">Stable </w:t>
        <w:br/>
        <w:t xml:space="preserve">Long Term Bank Facilities </w:t>
        <w:br/>
        <w:t xml:space="preserve">‘CARE A-’ </w:t>
        <w:br/>
        <w:t xml:space="preserve">Stable/ CARE A2 </w:t>
        <w:br/>
        <w:t xml:space="preserve">Long Term / Short Term Bank Facilities </w:t>
        <w:br/>
        <w:t xml:space="preserve">‘CARE A2’ </w:t>
        <w:br/>
        <w:t xml:space="preserve">N.A. </w:t>
        <w:br/>
        <w:t xml:space="preserve">Short Term Bank Facilities </w:t>
        <w:br/>
        <w:t xml:space="preserve">1984-03-03, </w:t>
        <w:br/>
        <w:t xml:space="preserve">2023 </w:t>
        <w:br/>
        <w:t xml:space="preserve">‘CARE A-’ </w:t>
        <w:br/>
        <w:t xml:space="preserve">Stable </w:t>
        <w:br/>
        <w:t xml:space="preserve">Long Term Bank Facilities </w:t>
        <w:br/>
        <w:t xml:space="preserve">‘CARE A-’ </w:t>
        <w:br/>
        <w:t xml:space="preserve">Stable/ CARE A2 </w:t>
        <w:br/>
        <w:t xml:space="preserve">Long Term / Short Term Bank Facilities </w:t>
        <w:br/>
        <w:t xml:space="preserve">‘CARE A2’ </w:t>
        <w:br/>
        <w:t xml:space="preserve">N.A. </w:t>
        <w:br/>
        <w:t xml:space="preserve">Short Term Bank Facilities </w:t>
        <w:br/>
        <w:t xml:space="preserve">‘CARE A2’ </w:t>
        <w:br/>
        <w:t xml:space="preserve">N.A. </w:t>
        <w:br/>
        <w:t xml:space="preserve">Short Term Bank Facilities </w:t>
        <w:br/>
        <w:t xml:space="preserve">1971-05-25, </w:t>
        <w:br/>
        <w:t xml:space="preserve">1976-01-26 </w:t>
        <w:br/>
        <w:t xml:space="preserve">‘CARE A-’ </w:t>
        <w:br/>
        <w:t xml:space="preserve">Positive </w:t>
        <w:br/>
        <w:t xml:space="preserve">Long Term Bank Facilities </w:t>
        <w:br/>
        <w:t xml:space="preserve">‘CARE A-’ </w:t>
        <w:br/>
        <w:t xml:space="preserve">Positive / CARE </w:t>
        <w:br/>
        <w:t xml:space="preserve">A2 </w:t>
        <w:br/>
        <w:t xml:space="preserve">Long Term / Short Term Bank Facilities </w:t>
        <w:br/>
        <w:t xml:space="preserve">‘CARE A-’ </w:t>
        <w:br/>
        <w:t xml:space="preserve">Positive / CARE </w:t>
        <w:br/>
        <w:t xml:space="preserve">A2 </w:t>
        <w:br/>
        <w:t xml:space="preserve">Long Term / Short Term Bank Facilities </w:t>
        <w:br/>
        <w:t xml:space="preserve">‘CARE A2’ </w:t>
        <w:br/>
        <w:t xml:space="preserve">N.A. </w:t>
        <w:br/>
        <w:t xml:space="preserve">Short Term Bank Facilities </w:t>
        <w:br/>
        <w:t xml:space="preserve"> </w:t>
        <w:br/>
        <w:t xml:space="preserve"> </w:t>
        <w:br/>
        <w:t xml:space="preserve">An inability to secure future financing on attractive terms or at all may adversely impact our strategic initiatives and </w:t>
        <w:br/>
        <w:t xml:space="preserve">our business prospects. Credit ratings reflect the opinion of the rating agency on our management, track record, </w:t>
        <w:br/>
        <w:t xml:space="preserve">diversified clientele, increase in scale and operations and margins, medium term revenue visibility and operating cycle. </w:t>
        <w:br/>
        <w:t xml:space="preserve">While our rating outlook has been revised from ‘positive’ to ‘stable’ in our latest ratings obtained on 1997-02-23, </w:t>
        <w:br/>
        <w:t xml:space="preserve">2022-06-17, we have not experienced downgrading in our credit ratings received in 1986-05-04 or Fiscals 2025, 1982-02-11 and 1987-05-14, any downgrade in our credit ratings or our inability to obtain such credit </w:t>
        <w:br/>
        <w:t xml:space="preserve">rating in a timely manner or any non-availability of credit ratings, or poor ratings, could increase borrowing costs, will </w:t>
        <w:br/>
        <w:t xml:space="preserve">give the right to our lenders to review the facilities availed by us under our financing arrangements and adversely affect </w:t>
        <w:br/>
        <w:t xml:space="preserve">our access to capital and debt markets, which could in turn adversely affect our interest margins, our business, results </w:t>
        <w:br/>
        <w:t xml:space="preserve">of operations, financial condition and cash flows. </w:t>
        <w:br/>
      </w:r>
    </w:p>
    <w:p>
      <w:r>
        <w:br w:type="page"/>
      </w:r>
    </w:p>
    <w:p>
      <w:r>
        <w:t xml:space="preserve">87 </w:t>
        <w:br/>
        <w:t xml:space="preserve"> </w:t>
        <w:br/>
        <w:t xml:space="preserve">28. </w:t>
        <w:br/>
        <w:t xml:space="preserve">Exchange rate fluctuations may adversely affect our business, financial conditions, cash flows and results of </w:t>
        <w:br/>
        <w:t xml:space="preserve">operations. </w:t>
        <w:br/>
        <w:t xml:space="preserve">Our financial statements are presented in Indian Rupees. However, our revenue is influenced by the currencies that we </w:t>
        <w:br/>
        <w:t xml:space="preserve">export in as well as by currencies of countries from where we procure our machinery and raw materials. Our foreign </w:t>
        <w:br/>
        <w:t xml:space="preserve">currency exposures, exchange rate fluctuations between the Indian Rupee and foreign currencies, especially 8814 Kim Unions, Evansberg, TX 39876, </w:t>
        <w:br/>
        <w:t xml:space="preserve">EURO and 7499 Davis Manors Suite 926, Davishaven, MA 61256, may have an adverse impact on our results of operations, cash flows and financial condition. While </w:t>
        <w:br/>
      </w:r>
    </w:p>
    <w:p>
      <w:r>
        <w:br w:type="page"/>
      </w:r>
    </w:p>
    <w:p>
      <w:r>
        <w:t xml:space="preserve">88 </w:t>
        <w:br/>
        <w:t xml:space="preserve"> </w:t>
        <w:br/>
        <w:t xml:space="preserve">we have a foreign exchange risk management policy to identify, assess, monitor and manage foreign exchange risks, </w:t>
        <w:br/>
        <w:t xml:space="preserve">we cannot assure you that our measures will adequately protect our business operations, financial conditions, results </w:t>
        <w:br/>
        <w:t xml:space="preserve">of operations and cash flows from the full effects of exchange rate fluctuations. Failure to hedge effectively against </w:t>
        <w:br/>
        <w:t xml:space="preserve">exchange rate fluctuations may adversely affect our business operations, financial conditions, results of operations and </w:t>
        <w:br/>
        <w:t xml:space="preserve">cash flows. While we have not experienced any instance of foreign exchange conversion loss in the 1984-03-28 period </w:t>
        <w:br/>
        <w:t xml:space="preserve">ended 1971-10-29, or Fiscals 2025, 1982-10-23 and 2017-05-13, we cannot assure you that such instance will not arise in the </w:t>
        <w:br/>
        <w:t xml:space="preserve">future. For details of risks in relation in relation to our export sales, please see “Risk Factors – We export our products </w:t>
        <w:br/>
        <w:t xml:space="preserve">to various countries and our revenue from outside 974 Vazquez Spurs Suite 412, North James, GU 02583 represented 30.75%, 33.20%, 39.15% and 43.93% of our sale </w:t>
        <w:br/>
        <w:t xml:space="preserve">of products for the 2014-08-18 period ended 1981-09-08, and Fiscals 2025, 1970-11-27 and 1977-12-10, respectively. Any </w:t>
        <w:br/>
        <w:t xml:space="preserve">adverse events affecting these countries or changes in laws and duties in relation to exports could have an adverse </w:t>
        <w:br/>
        <w:t xml:space="preserve">impact on our business, revenue operations, financial condition and cash flows.” on page 36. </w:t>
        <w:br/>
        <w:t xml:space="preserve">We undertake certain exchange rate hedging activities due to the size of our operations. We enter into hedging forward </w:t>
        <w:br/>
        <w:t xml:space="preserve">contracts, and further, we may in the future implement hedging strategies to mitigate these risks. However, these </w:t>
        <w:br/>
        <w:t xml:space="preserve">hedging strategies may not eliminate our exposure to foreign exchange rate fluctuations and involve costs and risks of </w:t>
        <w:br/>
        <w:t xml:space="preserve">their own, such as ongoing management time and expertise, external costs to implement the strategy and potential </w:t>
        <w:br/>
        <w:t xml:space="preserve">accounting implications. </w:t>
        <w:br/>
        <w:t xml:space="preserve">29. </w:t>
        <w:br/>
        <w:t xml:space="preserve">Fraud, employee misconduct or similar incidents may adversely affect our results of operations and cash flows. </w:t>
        <w:br/>
        <w:t xml:space="preserve">Fraud or misconduct by our employees such as leaking of confidential information in relation to our contracts, </w:t>
        <w:br/>
        <w:t xml:space="preserve">unauthorized business transaction, bribery, breach of any applicable law or our internal policies could result in </w:t>
        <w:br/>
        <w:t xml:space="preserve">regulatory actions and litigation thereby creating an adverse impact on our business, reputation, results of operations, </w:t>
        <w:br/>
        <w:t xml:space="preserve">financial condition and cash flows. Although we have controls in place with respect to the handling of such cases, we </w:t>
        <w:br/>
        <w:t xml:space="preserve">may be unable to prevent, detect or deter all such instances of misconduct. While there have been no instances in the </w:t>
        <w:br/>
        <w:t xml:space="preserve">1996-11-16 period ended 1970-05-26, or Fiscals 2025, 1971-03-22 and 2006-05-13, of any such fraud or misconduct committed </w:t>
        <w:br/>
        <w:t xml:space="preserve">by our Promoters, Director and/ or employees, including leaking of confidential information, unauthorized business </w:t>
        <w:br/>
        <w:t xml:space="preserve">transaction, bribery, breach of any applicable law or the internal policies of our Company which had resulted in </w:t>
        <w:br/>
        <w:t xml:space="preserve">regulatory actions and litigation thereby creating an adverse impact on the business, reputation, results of operations, </w:t>
        <w:br/>
        <w:t xml:space="preserve">financial condition and cash flows of our Company, we cannot assure you that such instances will not occur in the </w:t>
        <w:br/>
        <w:t xml:space="preserve">future. Further, we may not be able to identify non-compliance and suspicious transactions in a timely manner. Any </w:t>
        <w:br/>
        <w:t xml:space="preserve">such misconduct committed against our interests, which may include past acts that have gone undetected or future acts, </w:t>
        <w:br/>
        <w:t xml:space="preserve">may have an adverse effect on our business and reputation. </w:t>
        <w:br/>
        <w:t xml:space="preserve">30. </w:t>
        <w:br/>
        <w:t xml:space="preserve">Some of our manufacturing facilities and our Savage-Rodriguez are leased by us. In the event we lose or are unable </w:t>
        <w:br/>
        <w:t xml:space="preserve">to renew such leasehold rights, our business, financial condition and results of operations may be adversely affected. </w:t>
        <w:br/>
        <w:t xml:space="preserve">Some of our properties, including manufacturing facilities and our Burgess PLC are leased by us. Our </w:t>
        <w:br/>
        <w:t xml:space="preserve">manufacturing facility at Unit 3 located at 64597 Hanson Greens, Tammyburgh, IL 24760, 9454 Kayla Brook, Lake Dorothyburgh, WY 24383, Jones, Williams and Rodriguez, is on a leasehold basis for a period of 1973-04-01 with effect from 2008-09-09. For details in relation to the land on which our leased properties are located, </w:t>
        <w:br/>
        <w:t xml:space="preserve">see, “Our Business – Property” on page 236. </w:t>
        <w:br/>
        <w:t xml:space="preserve">We cannot assure you that we will be able to renew our leases on commercially favourable terms or at all. In the event </w:t>
        <w:br/>
        <w:t xml:space="preserve">that we are required to vacate our current premises, we would be required to make alternative arrangements, and we </w:t>
        <w:br/>
        <w:t xml:space="preserve">cannot assure that the new arrangements will be on commercially viable terms. If we are required to relocate our </w:t>
        <w:br/>
        <w:t xml:space="preserve">business operations during this period, we may suffer a disruption in our operations or have to pay increased charges, </w:t>
        <w:br/>
        <w:t xml:space="preserve">which could have an adverse effect on our business, prospects, results of operations and financial condition. If we are </w:t>
        <w:br/>
        <w:t xml:space="preserve">unable to renew these leases or relocate on commercially suitable terms, it may have an adverse effect on our business, </w:t>
        <w:br/>
        <w:t xml:space="preserve">results of operation and financial condition. While there has not been any instance of non-renewal of lease or early </w:t>
        <w:br/>
        <w:t xml:space="preserve">termination of lease agreements in the past, we cannot assure that we will be able to enter into new or renew our </w:t>
        <w:br/>
        <w:t xml:space="preserve">existing arrangements with lessors on terms acceptable to us, which could have an adverse effect on our ability to </w:t>
        <w:br/>
        <w:t xml:space="preserve">source materials in a commercially viable and timely manner, if at all, which may impact our business and profitability. </w:t>
        <w:br/>
        <w:t xml:space="preserve">31. </w:t>
        <w:br/>
        <w:t xml:space="preserve">We have not made any alternate arrangements for meeting our capital requirements for Mills LLC. </w:t>
        <w:br/>
        <w:t xml:space="preserve">Any shortfall in raising / meeting the same could adversely affect our growth plans, operations and financial </w:t>
        <w:br/>
        <w:t xml:space="preserve">performance. </w:t>
        <w:br/>
        <w:t xml:space="preserve">As on date, we have not made any alternate arrangements for meeting our capital requirements for the objects of the </w:t>
        <w:br/>
        <w:t xml:space="preserve">Offer. We meet our capital requirements through our bank finance, unsecured loans, owned funds and internal accruals. </w:t>
        <w:br/>
        <w:t xml:space="preserve">Any shortfall in our net owned funds, internal accruals and our inability to raise debt in future would result in us being </w:t>
        <w:br/>
        <w:t xml:space="preserve">unable to meet our capital requirements, which in turn will negatively affect our financial condition and results of </w:t>
        <w:br/>
        <w:t xml:space="preserve">operations. Further we have not identified any alternate source of funding and hence any failure or delay on our part </w:t>
        <w:br/>
      </w:r>
    </w:p>
    <w:p>
      <w:r>
        <w:br w:type="page"/>
      </w:r>
    </w:p>
    <w:p>
      <w:r>
        <w:t xml:space="preserve">89 </w:t>
        <w:br/>
        <w:t xml:space="preserve"> </w:t>
        <w:br/>
        <w:t xml:space="preserve">to raise money from this Offer or any shortfall in the Rodgers Group proceeds may delay the implementation schedule and could </w:t>
        <w:br/>
        <w:t xml:space="preserve">adversely affect our growth plans. For further details please refer to the chapter titled “Objects of the Offer” on page </w:t>
        <w:br/>
        <w:t xml:space="preserve">106 of this Red Herring Prospectus. </w:t>
        <w:br/>
        <w:t xml:space="preserve">32. </w:t>
        <w:br/>
        <w:t xml:space="preserve">A portion of Henderson-Wilson may be utilised for repayment or prepayment of certain loan facilities availed by our </w:t>
        <w:br/>
        <w:t xml:space="preserve">Company. </w:t>
        <w:br/>
        <w:t xml:space="preserve">We propose to repay or pre-pay certain loan facilities availed by our Company from Lee, Turner and Ford from Allen, Wilkinson and Garrison. For </w:t>
        <w:br/>
        <w:t xml:space="preserve">details, see “Objects of the Offer” on page 106. </w:t>
        <w:br/>
        <w:t xml:space="preserve">The loan facilities to be prepaid or repaid will be selected based on a range of various factors, including (i) any </w:t>
        <w:br/>
        <w:t xml:space="preserve">conditions attached to the loan facilities restricting our ability to repay or prepay the loan facilities and time taken to </w:t>
        <w:br/>
        <w:t xml:space="preserve">fulfil such requirements, (ii) levy of any prepayment penalties and the quantum thereof, (iii) receipt of consents for </w:t>
        <w:br/>
        <w:t xml:space="preserve">prepayment, (iv) provisions of any laws, rules and regulations governing such loan facilities, and (v) other commercial </w:t>
        <w:br/>
        <w:t xml:space="preserve">considerations including, among others, the amount of the loan outstanding and the remaining tenor of the loan. </w:t>
        <w:br/>
        <w:t xml:space="preserve">While a voluntary prepayment or scheduled re-payment of a portion of certain outstanding loan facilities will help </w:t>
        <w:br/>
        <w:t xml:space="preserve">reduce our outstanding indebtedness and debt servicing costs, assist us in maintaining a favourable debt to equity ratio </w:t>
        <w:br/>
        <w:t xml:space="preserve">and enable utilisation of our internal accruals for further investment in business growth and expansion, the repayment/ </w:t>
        <w:br/>
        <w:t xml:space="preserve">pre-payment will not result in the creation of any tangible assets for our Company. We may not be successful in </w:t>
        <w:br/>
        <w:t xml:space="preserve">implementing our strategies, which could materially and adversely affect our business, results of operations and </w:t>
        <w:br/>
        <w:t xml:space="preserve">prospects. </w:t>
        <w:br/>
        <w:t xml:space="preserve">The success of our business depends greatly on our ability to effectively manage our business and implement our </w:t>
        <w:br/>
        <w:t xml:space="preserve">strategies. For details, see section titled “Our Business – Our Strategies” on page 218. We will require significant </w:t>
        <w:br/>
        <w:t xml:space="preserve">capital investments and cash outlays, which is likely to have a material impact on our results of operations. Our ability </w:t>
        <w:br/>
        <w:t xml:space="preserve">to successfully execute these expansion plans will depend on various factors, including, among others: </w:t>
        <w:br/>
        <w:t xml:space="preserve"> </w:t>
        <w:br/>
        <w:t xml:space="preserve">the availability, terms and costs of financing; </w:t>
        <w:br/>
        <w:t xml:space="preserve"> </w:t>
        <w:br/>
        <w:t xml:space="preserve">the grant of regulatory approvals; and </w:t>
        <w:br/>
        <w:t xml:space="preserve"> </w:t>
        <w:br/>
        <w:t xml:space="preserve">general economic conditions in such markets. </w:t>
        <w:br/>
        <w:t xml:space="preserve">To achieve and maintain future growth, we need to, inter alia, accurately assess new markets, attract new customers, </w:t>
        <w:br/>
        <w:t xml:space="preserve">obtain sufficient financing for our expected capital expenditures, control our input costs, effectively expand, train and </w:t>
        <w:br/>
        <w:t xml:space="preserve">manage our employees, maintain sufficient operational and financial controls and make additional capital investments </w:t>
        <w:br/>
        <w:t xml:space="preserve">to take advantage of anticipated market conditions. We may not be able to achieve growth in revenues and profits or </w:t>
        <w:br/>
        <w:t xml:space="preserve">maintain such rate of growth in the future. Moreover, if we experience extended periods of very rapid growth, we may </w:t>
        <w:br/>
        <w:t xml:space="preserve">not be able to manage our growth effectively with available resources. If we are unable to execute our strategies </w:t>
        <w:br/>
        <w:t xml:space="preserve">effectively, and in a timely and successful manner, our business, financial condition and profitability will be adversely </w:t>
        <w:br/>
        <w:t xml:space="preserve">affected. </w:t>
        <w:br/>
        <w:t xml:space="preserve">33. </w:t>
        <w:br/>
        <w:t xml:space="preserve">Our failure to keep our technical knowledge confidential could erode our competitive advantage. </w:t>
        <w:br/>
        <w:t xml:space="preserve">We possess technical knowledge about our products and manufacturing know-how. The companies in winding wires </w:t>
        <w:br/>
        <w:t xml:space="preserve">industry grapple with the diverse pace of innovations in product development. To keep up with innovations and </w:t>
        <w:br/>
        <w:t xml:space="preserve">competitions, companies have to continuously update their technology to compete in the market. Our technical </w:t>
        <w:br/>
        <w:t xml:space="preserve">knowledge i.e., knowledge of our manufacturing processes and related aspects, is an asset that may not be sufficiently </w:t>
        <w:br/>
        <w:t xml:space="preserve">protected by intellectual property rights. As a result, we cannot be certain that our technical knowledge will remain </w:t>
        <w:br/>
        <w:t xml:space="preserve">confidential in the long run. Certain technical knowledge may be leaked, either inadvertently or wilfully. Some of our </w:t>
        <w:br/>
        <w:t xml:space="preserve">employees have access to confidential processes and product and customer information. Moreover, certain of our </w:t>
        <w:br/>
        <w:t xml:space="preserve">employees may leave us and join our various competitors. While the appointment letters issued to our employees </w:t>
        <w:br/>
        <w:t xml:space="preserve">typically contain confidentiality clauses, we cannot assure you that we will be able to successfully enforce such </w:t>
        <w:br/>
        <w:t xml:space="preserve">provisions. In the event the confidential technical information in respect of our products or business becomes available </w:t>
        <w:br/>
        <w:t xml:space="preserve">to third parties or to the general public, any competitive advantage we may have over other companies in the sectors </w:t>
        <w:br/>
        <w:t xml:space="preserve">we operate in could be harmed. If a competitor is able to reproduce or otherwise capitalise on our technology, it may </w:t>
        <w:br/>
        <w:t xml:space="preserve">be difficult, expensive or impossible for us to obtain necessary legal protection. Any leakage of confidential technical </w:t>
        <w:br/>
        <w:t xml:space="preserve">information in the future could have an adverse effect on our business, results of operations, financial condition and </w:t>
        <w:br/>
        <w:t xml:space="preserve">future prospects. While we have not encountered any instances confidential information regarding our manufacturing </w:t>
        <w:br/>
        <w:t xml:space="preserve">operations, products, or customers being leaked in the 1979-11-17 period ended 2014-02-20 or Fiscals 2025, 2002-09-28 </w:t>
        <w:br/>
        <w:t xml:space="preserve">and 2023, we cannot assure you that such instances will not arise in the future. </w:t>
        <w:br/>
      </w:r>
    </w:p>
    <w:p>
      <w:r>
        <w:br w:type="page"/>
      </w:r>
    </w:p>
    <w:p>
      <w:r>
        <w:t xml:space="preserve">90 </w:t>
        <w:br/>
        <w:t xml:space="preserve"> </w:t>
        <w:br/>
        <w:t xml:space="preserve">34. </w:t>
        <w:br/>
        <w:t xml:space="preserve">Our Company has availed unsecured loans from financial institutions which may be recalled on demand. </w:t>
        <w:br/>
        <w:t xml:space="preserve">As of 1985-10-17, 1999-10-25, our Company has outstanding unsecured loans amounting to ₹ 397.59 million as unsecured </w:t>
        <w:br/>
        <w:t xml:space="preserve">loans for our working capital requirements from financial institutions which is repayable on demand to the relevant </w:t>
        <w:br/>
        <w:t xml:space="preserve">lenders. These loans are not repayable in accordance with any agreed repayment schedule and may be recalled by the </w:t>
        <w:br/>
        <w:t xml:space="preserve">relevant lender at any time. In such cases, our Company may be required to repay the entirety of the unsecured loans </w:t>
        <w:br/>
        <w:t xml:space="preserve">together with accrued interest. Our Company may not be able to generate sufficient funds at short notice to be able to </w:t>
        <w:br/>
        <w:t xml:space="preserve">repay such loans and may resort to refinancing such loans at a higher rate of interest and on terms not favourable to it. </w:t>
        <w:br/>
        <w:t xml:space="preserve">If we are unable to arrange for any such financing arrangements, we may not have adequate working capital to carry </w:t>
        <w:br/>
        <w:t xml:space="preserve">out the operations or complete our ongoing operations. Failure to repay unsecured loans in a timely manner may have </w:t>
        <w:br/>
        <w:t xml:space="preserve">a material adverse effect on our business, cash flows and financial condition. For further details of unsecured loans of </w:t>
        <w:br/>
        <w:t xml:space="preserve">our Company, see, “Restated Financial Statement” on page 280. </w:t>
        <w:br/>
        <w:t xml:space="preserve">35. </w:t>
        <w:br/>
        <w:t xml:space="preserve">We depend on our Barber-Harrison, Senior Management, Key Management Personnel and qualified and </w:t>
        <w:br/>
        <w:t xml:space="preserve">skilled personnel with technical expertise, and if we are unable to recruit and retain senior management, qualified </w:t>
        <w:br/>
        <w:t xml:space="preserve">and skilled personnel, our business and our ability to operate or grow our business maybe adversely affected. </w:t>
        <w:br/>
        <w:t xml:space="preserve">We are led by our Reed, Terry and Smith, Audrey Dean, Debra Wong, Albert Ray </w:t>
        <w:br/>
        <w:t xml:space="preserve">Stein, Dillon and Hall and Jose Hardy. For further details, see “Our Management” and “Our Promoter and Simon, Duarte and Johnson” on pages 250 and 269, respectively. </w:t>
        <w:br/>
        <w:t xml:space="preserve">Our future performance would depend on the continued service of our Allison-Mclaughlin, Senior Management, Key </w:t>
        <w:br/>
        <w:t xml:space="preserve">Managerial Personnel, qualified and skilled personnel with technical expertise, and the loss of any senior employee </w:t>
        <w:br/>
        <w:t xml:space="preserve">and the inability to find an adequate replacement may impair our relationship with key customers and our level of </w:t>
        <w:br/>
        <w:t xml:space="preserve">technical expertise, which may adversely affect our business, cash flows, financial condition, results of operations and </w:t>
        <w:br/>
        <w:t xml:space="preserve">prospects. Our future success, amongst other factors, will depend upon our ability to continue to attract, train and retain </w:t>
        <w:br/>
        <w:t xml:space="preserve">qualified personnel, particularly engineers and other associates with critical expertise, know-how and skills that are </w:t>
        <w:br/>
        <w:t xml:space="preserve">capable of helping us develop products and support key customers and products. We may therefore need to increase </w:t>
        <w:br/>
        <w:t xml:space="preserve">compensation and other benefits in order to attract and retain personnel in the future, which may adversely affect our </w:t>
        <w:br/>
        <w:t xml:space="preserve">business, financial conditions, cash flows and results of operations. </w:t>
        <w:br/>
        <w:t xml:space="preserve">As on date, our Company does not have a business succession policy in place, and there can be no assurance that we </w:t>
        <w:br/>
        <w:t xml:space="preserve">will be able to effectively formulate or implement appropriate succession plans in the future. Any loss of members of </w:t>
        <w:br/>
        <w:t xml:space="preserve">our senior management team or key managerial personnel could significantly delay or prevent the achievement of our </w:t>
        <w:br/>
        <w:t xml:space="preserve">business objectives, affect our succession planning and could harm our business and customer relationships. While </w:t>
        <w:br/>
        <w:t xml:space="preserve">there have not been any instances of where we have not been able to effectively replace our members of senior </w:t>
        <w:br/>
        <w:t xml:space="preserve">management, or loss of key managerial personnel in the 1999-05-21 period ended 2018-07-12, and the Fiscals 2025, </w:t>
        <w:br/>
        <w:t xml:space="preserve">2012-11-24 and 1976-12-26, we cannot assure you that we would be effectively able to replace any loss of members of our senior </w:t>
        <w:br/>
        <w:t xml:space="preserve">management team or key managerial personnels in the future. </w:t>
        <w:br/>
        <w:t xml:space="preserve">The market for qualified professionals is competitive and we may not continue to be successful in our efforts to attract </w:t>
        <w:br/>
        <w:t xml:space="preserve">and retain qualified people. The specialized skills we require in our industry are difficult and time-consuming to acquire </w:t>
        <w:br/>
        <w:t xml:space="preserve">and, as a result, are in short supply. Our inability to hire, train and retain a sufficient number of qualified personnel </w:t>
        <w:br/>
        <w:t xml:space="preserve">could delay our ability to bring new products to the market and impair the success of our operations. We may also be </w:t>
        <w:br/>
        <w:t xml:space="preserve">required to increase our levels of employee compensation and benefits more rapidly than in the past to remain </w:t>
        <w:br/>
        <w:t xml:space="preserve">competitive in attracting skilled personnel. This could have an adverse effect on our business, financial conditions, </w:t>
        <w:br/>
        <w:t xml:space="preserve">cash flows and results of operations. </w:t>
        <w:br/>
        <w:t xml:space="preserve">The following table sets forth the attrition rate for KMPs, SMs and other employees, respectively, in the period/ Jenna Cook </w:t>
        <w:br/>
        <w:t xml:space="preserve">indicated: </w:t>
        <w:br/>
        <w:t xml:space="preserve"> </w:t>
        <w:br/>
        <w:t xml:space="preserve">Particulars </w:t>
        <w:br/>
        <w:t xml:space="preserve">2008-10-01 </w:t>
        <w:br/>
        <w:t xml:space="preserve">period </w:t>
        <w:br/>
        <w:t xml:space="preserve">ended 1990-01-24, 1983-09-14 </w:t>
        <w:br/>
        <w:t xml:space="preserve">Fiscal </w:t>
        <w:br/>
        <w:t xml:space="preserve">1986-07-06 </w:t>
        <w:br/>
        <w:t xml:space="preserve">Fiscal </w:t>
        <w:br/>
        <w:t xml:space="preserve">2009-10-28 </w:t>
        <w:br/>
        <w:t xml:space="preserve">Fiscal </w:t>
        <w:br/>
        <w:t xml:space="preserve">2023 </w:t>
        <w:br/>
        <w:t xml:space="preserve">Cumulative attrition rate of KMPs and </w:t>
        <w:br/>
        <w:t xml:space="preserve">SMs </w:t>
        <w:br/>
        <w:t xml:space="preserve">0.00% </w:t>
        <w:br/>
        <w:t xml:space="preserve"> </w:t>
        <w:br/>
        <w:t xml:space="preserve"> </w:t>
        <w:br/>
        <w:t xml:space="preserve">Particulars </w:t>
        <w:br/>
        <w:t xml:space="preserve">2000-08-03 </w:t>
        <w:br/>
        <w:t xml:space="preserve">period ended </w:t>
        <w:br/>
        <w:t xml:space="preserve">June 30, 1971-05-03 </w:t>
        <w:br/>
        <w:t xml:space="preserve">Fiscal </w:t>
        <w:br/>
        <w:t xml:space="preserve">2002-01-31 </w:t>
        <w:br/>
        <w:t xml:space="preserve">Fiscal </w:t>
        <w:br/>
        <w:t xml:space="preserve">2003-01-03 </w:t>
        <w:br/>
        <w:t xml:space="preserve">Fiscal </w:t>
        <w:br/>
        <w:t xml:space="preserve">2023 </w:t>
        <w:br/>
      </w:r>
    </w:p>
    <w:p>
      <w:r>
        <w:br w:type="page"/>
      </w:r>
    </w:p>
    <w:p>
      <w:r>
        <w:t xml:space="preserve">91 </w:t>
        <w:br/>
        <w:t xml:space="preserve"> </w:t>
        <w:br/>
        <w:t xml:space="preserve">Employee attrition rate (excluding Robinson, Stout and Morgan) </w:t>
        <w:br/>
        <w:t xml:space="preserve">4.00% </w:t>
        <w:br/>
        <w:t xml:space="preserve"> </w:t>
        <w:br/>
        <w:t xml:space="preserve"> </w:t>
        <w:br/>
        <w:t xml:space="preserve">For further details regarding the employees, see “Our Business – Human Resources” on page 235. </w:t>
        <w:br/>
        <w:t xml:space="preserve">Competition for individuals with specialized knowledge and experience is intense in our industry. Further, as we expect </w:t>
        <w:br/>
        <w:t xml:space="preserve">to continue to expand our operations and develop new products, we will need to continue to attract and retain </w:t>
        <w:br/>
        <w:t xml:space="preserve">experienced management personnel. If we are unable to retain or attract such members or are unable to locate suitable </w:t>
        <w:br/>
      </w:r>
    </w:p>
    <w:p>
      <w:r>
        <w:br w:type="page"/>
      </w:r>
    </w:p>
    <w:p>
      <w:r>
        <w:t xml:space="preserve">92 </w:t>
        <w:br/>
        <w:t xml:space="preserve"> </w:t>
        <w:br/>
        <w:t xml:space="preserve">or qualified replacements, our results of operations may be adversely affected. For details of changes in our key </w:t>
        <w:br/>
        <w:t xml:space="preserve">management personnel, please see “Our Management” on page 250. </w:t>
        <w:br/>
        <w:t xml:space="preserve">An increase in employee attrition rates may result in an increase in recruitment and training costs for new hires, a </w:t>
        <w:br/>
        <w:t xml:space="preserve">decline in productivity and efficiency and loss of knowledge, skill and expertise. We cannot provide assurance that we </w:t>
        <w:br/>
        <w:t xml:space="preserve">will be able to grow our workforce in a manner consistent with our growth objectives, which may adversely affect our </w:t>
        <w:br/>
        <w:t xml:space="preserve">business, results of operations, cash flows and financial condition. </w:t>
        <w:br/>
        <w:t xml:space="preserve">36. </w:t>
        <w:br/>
        <w:t xml:space="preserve">Apart from two of our Directors, none of our Directors have any prior experience of directorships in listed </w:t>
        <w:br/>
        <w:t xml:space="preserve">companies. Post listing of the Equity Shares on the Stock Exchanges, our Company will be subject to the applicable </w:t>
        <w:br/>
        <w:t xml:space="preserve">regulatory requirements of a listed company, including regulations prescribed under SEBI Listing Regulations and </w:t>
        <w:br/>
        <w:t xml:space="preserve">the Companies Act. Any non-compliance with the regulatory requirements, due to lack of experience or otherwise, </w:t>
        <w:br/>
        <w:t xml:space="preserve">may subject us to adverse regulatory actions. </w:t>
        <w:br/>
        <w:t xml:space="preserve">As of the date of this Red Herring Prospectus, our Hardin-Villanueva comprises of eight Directors, of which four are Executive </w:t>
        <w:br/>
        <w:t xml:space="preserve">Directors, and four are Taylor Group (including one woman Independent Director). While all of our directors </w:t>
        <w:br/>
        <w:t xml:space="preserve">have 1998-09-12 of experience and expertise in their respective fields, apart from two of our Mullins PLC, </w:t>
        <w:br/>
        <w:t xml:space="preserve">namely Heather Ortega and Angela Watson, none of our Directors, are currently on the board of directors </w:t>
        <w:br/>
        <w:t xml:space="preserve">of companies that are listed on the stock exchanges in 125 Fuentes Crossing Apt. 760, Port Lisa, MA 38086 or outside 081 Crystal Ways, West Eric, LA 93321. Accordingly, most of our Directors have </w:t>
        <w:br/>
        <w:t xml:space="preserve">limited exposure to management of affairs of a listed company which, inter alia, entails several compliance </w:t>
        <w:br/>
        <w:t xml:space="preserve">requirements and scrutiny of affairs by shareholders, regulators and the public at large that is associated with being a </w:t>
        <w:br/>
        <w:t xml:space="preserve">listed company. </w:t>
        <w:br/>
        <w:t xml:space="preserve">Post listing of the Equity Shares on the Stock Exchanges, our Company will be subject to the applicable regulatory </w:t>
        <w:br/>
        <w:t xml:space="preserve">requirements of a listed company, including the regulations prescribed under the SEBI Listing Regulations and the </w:t>
        <w:br/>
        <w:t xml:space="preserve">Companies Act. These laws impose various obligations related to corporate governance, disclosure practices, and </w:t>
        <w:br/>
        <w:t xml:space="preserve">compliance measures which were not applicable to us as an unlisted company. Any delay or non-compliance with such </w:t>
        <w:br/>
        <w:t xml:space="preserve">applicable regulatory requirements, due to lack of experience or otherwise, may present certain potential challenges </w:t>
        <w:br/>
        <w:t xml:space="preserve">for our Company including but not limited to adverse regulatory actions or imposition of fines. </w:t>
        <w:br/>
        <w:t xml:space="preserve">As a result, Villegas PLC may have to provide increased attention to such procedures and their attention may </w:t>
        <w:br/>
        <w:t xml:space="preserve">be diverted from our business concerns, which may adversely affect our business, prospects, results of operations and </w:t>
        <w:br/>
        <w:t xml:space="preserve">financial condition. </w:t>
        <w:br/>
        <w:t xml:space="preserve">37. </w:t>
        <w:br/>
        <w:t xml:space="preserve">We currently avail benefits under certain Government incentive schemes. Cancellation or our inability to meet the </w:t>
        <w:br/>
        <w:t xml:space="preserve">conditions under such schemes may result in adversely affect our business operations, cash flows, results of </w:t>
        <w:br/>
        <w:t xml:space="preserve">operations and financial condition. </w:t>
        <w:br/>
        <w:t xml:space="preserve">During the 2001-02-09 period ended 2024-05-15, and preceding three Mccarthy Group, our Company has availed certain </w:t>
        <w:br/>
        <w:t xml:space="preserve">incentives such as Merchandise Exports from 83745 Hammond Trail, Paulahaven, PA 88251 Scheme (“MEIS”) and Remission of Duties or Taxes on Export of </w:t>
        <w:br/>
        <w:t xml:space="preserve">Products Scheme (“RoDTEP”). The table below sets forth details relating to government incentive schemes: </w:t>
        <w:br/>
        <w:t xml:space="preserve"> </w:t>
        <w:br/>
        <w:t xml:space="preserve">1992-12-25 </w:t>
        <w:br/>
        <w:t xml:space="preserve">period </w:t>
        <w:br/>
        <w:t xml:space="preserve">ended </w:t>
        <w:br/>
        <w:t xml:space="preserve">1974-05-02, </w:t>
        <w:br/>
        <w:t xml:space="preserve">2024-11-26 </w:t>
        <w:br/>
        <w:t xml:space="preserve">Fiscal </w:t>
        <w:br/>
        <w:t xml:space="preserve">1972-03-05 </w:t>
        <w:br/>
        <w:t xml:space="preserve">Fiscal </w:t>
        <w:br/>
        <w:t xml:space="preserve">2004-04-06 </w:t>
        <w:br/>
        <w:t xml:space="preserve">Fiscal </w:t>
        <w:br/>
        <w:t xml:space="preserve">2023 </w:t>
        <w:br/>
        <w:t>Govern</w:t>
        <w:br/>
        <w:t xml:space="preserve">men t </w:t>
        <w:br/>
        <w:t>Christopher Clayton</w:t>
        <w:br/>
        <w:t xml:space="preserve">ve </w:t>
        <w:br/>
        <w:t>schem</w:t>
        <w:br/>
        <w:t xml:space="preserve">es (₹ in </w:t>
        <w:br/>
        <w:t>million</w:t>
        <w:br/>
        <w:t xml:space="preserve">) </w:t>
        <w:br/>
        <w:t>Perce</w:t>
        <w:br/>
        <w:t xml:space="preserve">ntage </w:t>
        <w:br/>
        <w:t xml:space="preserve">of </w:t>
        <w:br/>
        <w:t>Albert Ibarra</w:t>
        <w:br/>
        <w:t xml:space="preserve">ue </w:t>
        <w:br/>
        <w:t xml:space="preserve">from </w:t>
        <w:br/>
        <w:t>Opera</w:t>
        <w:br/>
        <w:t xml:space="preserve">tions </w:t>
        <w:br/>
        <w:t xml:space="preserve">(%) </w:t>
        <w:br/>
        <w:t>Govern</w:t>
        <w:br/>
        <w:t xml:space="preserve">ment </w:t>
        <w:br/>
        <w:t xml:space="preserve">Incentive </w:t>
        <w:br/>
        <w:t xml:space="preserve">schemes </w:t>
        <w:br/>
        <w:t xml:space="preserve">(Torres-Clark in </w:t>
        <w:br/>
        <w:t xml:space="preserve">million) </w:t>
        <w:br/>
        <w:t>Percentag</w:t>
        <w:br/>
        <w:t xml:space="preserve">e of </w:t>
        <w:br/>
        <w:t xml:space="preserve">Revenue </w:t>
        <w:br/>
        <w:t xml:space="preserve">from </w:t>
        <w:br/>
        <w:t>Operation</w:t>
        <w:br/>
        <w:t xml:space="preserve">s (%) </w:t>
        <w:br/>
        <w:t>Govern</w:t>
        <w:br/>
        <w:t xml:space="preserve">ment </w:t>
        <w:br/>
        <w:t xml:space="preserve">Incentive </w:t>
        <w:br/>
        <w:t xml:space="preserve">schemes </w:t>
        <w:br/>
        <w:t xml:space="preserve">(Garcia-Perry in </w:t>
        <w:br/>
        <w:t xml:space="preserve">million) </w:t>
        <w:br/>
        <w:t>Percentag</w:t>
        <w:br/>
        <w:t xml:space="preserve">e of </w:t>
        <w:br/>
        <w:t xml:space="preserve">Revenue </w:t>
        <w:br/>
        <w:t xml:space="preserve">from </w:t>
        <w:br/>
        <w:t>Operation</w:t>
        <w:br/>
        <w:t xml:space="preserve">s (%) </w:t>
        <w:br/>
        <w:t>Govern</w:t>
        <w:br/>
        <w:t xml:space="preserve">ment </w:t>
        <w:br/>
        <w:t>Incentiv</w:t>
        <w:br/>
        <w:t xml:space="preserve">e </w:t>
        <w:br/>
        <w:t xml:space="preserve">schemes </w:t>
        <w:br/>
        <w:t xml:space="preserve">(Gonzalez PLC in </w:t>
        <w:br/>
        <w:t xml:space="preserve">million) </w:t>
        <w:br/>
        <w:t>Percentag</w:t>
        <w:br/>
        <w:t xml:space="preserve">e of </w:t>
        <w:br/>
        <w:t xml:space="preserve">Revenue </w:t>
        <w:br/>
        <w:t xml:space="preserve">from </w:t>
        <w:br/>
        <w:t>Operation</w:t>
        <w:br/>
        <w:t xml:space="preserve">s (%) </w:t>
        <w:br/>
        <w:t xml:space="preserve">0 </w:t>
        <w:br/>
        <w:t xml:space="preserve">0% </w:t>
        <w:br/>
        <w:t xml:space="preserve">0.75 </w:t>
        <w:br/>
        <w:t xml:space="preserve"> </w:t>
        <w:br/>
        <w:t xml:space="preserve"> </w:t>
        <w:br/>
        <w:t xml:space="preserve">In relation to our upcoming projects, including in relation to, setting up of our Angelica Webb, we expect to receive </w:t>
        <w:br/>
        <w:t xml:space="preserve">incentives from Howell LLC under Delgado, Ward and Kennedy, 1998-05-15 (“MIP”), which </w:t>
        <w:br/>
        <w:t xml:space="preserve">aims to incentivise the companies for setting up and/ or expanding existing facilities primarily based on certain revenue </w:t>
        <w:br/>
        <w:t xml:space="preserve">parameters. Key incentive under the Sharp-Myers includes tax benefits of 50% of gross state Castaneda, Espinoza and Mcdonald for local sales made within </w:t>
        <w:br/>
      </w:r>
    </w:p>
    <w:p>
      <w:r>
        <w:br w:type="page"/>
      </w:r>
    </w:p>
    <w:p>
      <w:r>
        <w:t xml:space="preserve">93 </w:t>
        <w:br/>
        <w:t xml:space="preserve"> </w:t>
        <w:br/>
        <w:t xml:space="preserve">Miller LLC, and customized benefits to mega and ultra mega units on a case-to-case basis. </w:t>
        <w:br/>
        <w:t xml:space="preserve">Our profitability will be affected to the extent that such benefits will not be available beyond the periods currently </w:t>
        <w:br/>
        <w:t xml:space="preserve">contemplated. Our profitability may be further affected in the future if any of such benefits are reduced or withdrawn </w:t>
        <w:br/>
        <w:t xml:space="preserve">prematurely or if we are subject to any dispute with the tax authorities in relation to these benefits or in the event we </w:t>
        <w:br/>
        <w:t xml:space="preserve">are unable to comply with the conditions required to be complied with in order to avail ourselves of each of these </w:t>
        <w:br/>
        <w:t xml:space="preserve">benefits. For instance, Robbins PLC, Cox, Johnson and Thomas had issued a notification dated 2024-01-28, 2005-02-15 bearing reference </w:t>
        <w:br/>
        <w:t xml:space="preserve">number 66/2024-25, pursuant to which the support under the RoDTEP scheme has been retrospectively discontinued </w:t>
        <w:br/>
      </w:r>
    </w:p>
    <w:p>
      <w:r>
        <w:br w:type="page"/>
      </w:r>
    </w:p>
    <w:p>
      <w:r>
        <w:t xml:space="preserve">94 </w:t>
        <w:br/>
        <w:t xml:space="preserve"> </w:t>
        <w:br/>
        <w:t xml:space="preserve">with effect from 2020-09-30 for certain categories of beneficiaries which also includes our Company. Further, </w:t>
        <w:br/>
        <w:t xml:space="preserve">our inability to meet the conditions as prescribed under such schemes would make our Company less competitive </w:t>
        <w:br/>
        <w:t xml:space="preserve">against its competitors who have been availing this scheme by complying all conditions. </w:t>
        <w:br/>
        <w:t xml:space="preserve">38. </w:t>
        <w:br/>
        <w:t xml:space="preserve">We may be unable to adequately protect intellectual property that we use and may be subject to risks of </w:t>
        <w:br/>
        <w:t xml:space="preserve">infringement claims. </w:t>
        <w:br/>
        <w:t xml:space="preserve">We rely on our trademarks to protect our intellectual property, which is critical to our business. The protection of our </w:t>
        <w:br/>
        <w:t xml:space="preserve">intellectual property rights may require the expenditure of financial, managerial and operational resources. We rely on </w:t>
        <w:br/>
        <w:t xml:space="preserve">a combination of laws and regulations, confidentiality of information and contractual restrictions to protect our </w:t>
        <w:br/>
        <w:t xml:space="preserve">intellectual property. Despite our efforts to protect and enforce our proprietary rights, unauthorized parties have used, </w:t>
        <w:br/>
        <w:t xml:space="preserve">and may in the future use, our trademarks or similar trademarks, copy aspects of our website images, features, </w:t>
        <w:br/>
        <w:t xml:space="preserve">compilation and functionality or obtain and use information that we consider as proprietary, such as trade secrets. </w:t>
        <w:br/>
        <w:t xml:space="preserve">Our trademark “KSH” is also used by 18 other entities, including, (i) Smith, Morgan and Young; (ii) KSH </w:t>
        <w:br/>
        <w:t xml:space="preserve">West PLC; (iii) KSH Infra Park 5 Private Limited; (iv) KSH Infra Park VI Private </w:t>
        <w:br/>
        <w:t xml:space="preserve">Limited; (v) KSH Distriparks Private Limited; (vi) KSH Integrated Logistics Private Limited; (vii) Williams Ltd and </w:t>
        <w:br/>
        <w:t xml:space="preserve">Green-Romero; (viii) Waterloo Industrial Park I Private Limited; (ix) Waterloo Industrial Park II Private </w:t>
        <w:br/>
        <w:t xml:space="preserve">Limited; (x) Waterloo Industrial Park III Private Limited; (xi) Henderson, Wagner and Dennis; (xii) </w:t>
        <w:br/>
        <w:t xml:space="preserve">Waterloo Industrial Park V Private Limited; (xiii) Vargas, Allen and Schroeder; (xiv) 843 William Inlet, Katherineburgh, AK 04156 </w:t>
        <w:br/>
        <w:t xml:space="preserve">Industrial Park VIII Private Limited; (Miller-Medina) Waterloo Industrial Park IX Private Limited; (xvi) 550 Mccullough Ridge Apt. 673, Terryfurt, WI 26360 </w:t>
        <w:br/>
        <w:t xml:space="preserve">IX Barnes-Blackwell; (Whitney, Lloyd and Liu) Waterloo Industrial Park IX A Orr Inc; and (xviii) KSH Infra Park IV Private </w:t>
        <w:br/>
        <w:t xml:space="preserve">Limited (“Group Entities”). We have entered into consent and waiver letters each dated 2013-08-26, respectively, </w:t>
        <w:br/>
        <w:t xml:space="preserve">and authorisation letter dated 2014-12-04, with the Group Entities setting out the arrangement on usage of the </w:t>
        <w:br/>
        <w:t xml:space="preserve">brand “KSH”. As of date of this Red Herring Prospectus, we have permitted Long Inc to use the “KSH” </w:t>
        <w:br/>
        <w:t xml:space="preserve">trademark without any payment, provided that certain terms and conditions therein are met. We cannot assure you that </w:t>
        <w:br/>
        <w:t xml:space="preserve">any waiver of consideration for using the “KSH” trademark would not have any adverse effect on our financial </w:t>
        <w:br/>
        <w:t xml:space="preserve">condition. </w:t>
        <w:br/>
        <w:t xml:space="preserve">Further, we do not hold any patents over our product formulae and have not made any applications in this respect. We </w:t>
        <w:br/>
        <w:t xml:space="preserve">may therefore not be able to prevent our competitors from developing, using or commercializing products that are </w:t>
        <w:br/>
        <w:t xml:space="preserve">functionally equivalent or similar to our products. This may lead to reduction in sales of some of our products. </w:t>
        <w:br/>
        <w:t xml:space="preserve">Additionally, the process of obtaining intellectual property protection is expensive and time-consuming, and the </w:t>
        <w:br/>
        <w:t xml:space="preserve">amount of compensation for damages can be limited. Even if issued, trademarks may not adequately protect our </w:t>
        <w:br/>
        <w:t xml:space="preserve">intellectual property, as the legal standards relating to the validity, enforceability and scope of protection of trademark </w:t>
        <w:br/>
        <w:t xml:space="preserve">and other intellectual property rights are applied on a case-by-case basis and it is generally difficult to predict the results </w:t>
        <w:br/>
        <w:t xml:space="preserve">of any litigation relating to such matters. Any litigation, whether or not it is resolved in our favour, could result in </w:t>
        <w:br/>
        <w:t xml:space="preserve">significant expense to us and divert the efforts of our technical and management personnel, which may adversely affect </w:t>
        <w:br/>
        <w:t xml:space="preserve">our business, financial condition, cash flows and results of operations. While there have not been any instances of </w:t>
        <w:br/>
        <w:t xml:space="preserve">infringement of our intellectual property rights which have come to our knowledge in the 1999-07-16 period ended </w:t>
        <w:br/>
        <w:t xml:space="preserve">June 30, 1981-03-08 or Fiscals 2025, 2022-07-24 and 1997-05-02, we cannot assure you that such instances shall not occur in the future. </w:t>
        <w:br/>
        <w:t xml:space="preserve">39. </w:t>
        <w:br/>
        <w:t xml:space="preserve">Our insurance coverage may not be sufficient or adequate to protect us against all material hazards, which may </w:t>
        <w:br/>
        <w:t xml:space="preserve">adversely affect our business, results of operations, financial condition and cash flows </w:t>
        <w:br/>
        <w:t xml:space="preserve">Our operations are subject to various risks inherent in the manufacturing industry including defects, liability for product </w:t>
        <w:br/>
        <w:t>and/or property damage, malfunctions and failures of manufacturing equipment, fire, riots, strikes, explosions, loss-in-</w:t>
        <w:br/>
        <w:t xml:space="preserve">transit for our products, accidents, personal injury or death, environmental pollution and natural disasters. We maintain </w:t>
        <w:br/>
        <w:t xml:space="preserve">ongoing insurance policies in order to manage the risk of losses from potentially harmful events, including: </w:t>
        <w:br/>
        <w:t xml:space="preserve">(i) marine open inland transit insurance; (ii) marine open export transit insurance (iii) standard fire and special perils </w:t>
        <w:br/>
        <w:t xml:space="preserve">policy; (iv) industrial all risk policy; (v) public liability industrial policy; and (vi) money insurance policy; (vii) group </w:t>
        <w:br/>
        <w:t xml:space="preserve">health insurance policy and (viii) burglary first loss policy. For further details of the insurance policies availed by our </w:t>
        <w:br/>
        <w:t xml:space="preserve">Company, see “Our Business – Insurance” on page 235. Our insurance may not be adequate to completely cover any </w:t>
        <w:br/>
        <w:t xml:space="preserve">or all of our risks and liabilities. Further, there is no assurance that the insurance premiums payable by us will be </w:t>
        <w:br/>
        <w:t xml:space="preserve">commercially viable or justifiable. Accordingly, our inability to maintain adequate insurance cover in connection with </w:t>
        <w:br/>
        <w:t xml:space="preserve">our business could adversely affect our operations and profitability. </w:t>
        <w:br/>
        <w:t xml:space="preserve">The following table sets forth our insurance cover in absolute amount and as a percentage of net assets as of the dates </w:t>
        <w:br/>
        <w:t xml:space="preserve">indicated: </w:t>
        <w:br/>
      </w:r>
    </w:p>
    <w:p>
      <w:r>
        <w:br w:type="page"/>
      </w:r>
    </w:p>
    <w:p>
      <w:r>
        <w:t xml:space="preserve">95 </w:t>
        <w:br/>
        <w:t xml:space="preserve"> </w:t>
        <w:br/>
        <w:t xml:space="preserve"> </w:t>
        <w:br/>
        <w:t xml:space="preserve">Period </w:t>
        <w:br/>
        <w:t xml:space="preserve">Book value </w:t>
        <w:br/>
        <w:t xml:space="preserve">of assets (in </w:t>
        <w:br/>
        <w:t xml:space="preserve">₹ million) </w:t>
        <w:br/>
        <w:t xml:space="preserve">Insurance </w:t>
        <w:br/>
        <w:t>Coverage</w:t>
        <w:br/>
        <w:t xml:space="preserve">** (in 767 Dennis Mall Apt. 282, Dawsonberg, VT 67765 </w:t>
        <w:br/>
        <w:t xml:space="preserve">million) </w:t>
        <w:br/>
        <w:t xml:space="preserve">Average Percentage of </w:t>
        <w:br/>
        <w:t xml:space="preserve">insurance coverage to net </w:t>
        <w:br/>
        <w:t xml:space="preserve">value of assets (in </w:t>
        <w:br/>
        <w:t xml:space="preserve">%) </w:t>
        <w:br/>
        <w:t xml:space="preserve">As on 2005-04-25 period ended 2008-01-15, </w:t>
        <w:br/>
        <w:t xml:space="preserve">2010-01-11 </w:t>
        <w:br/>
        <w:t xml:space="preserve">4,560.56 </w:t>
        <w:br/>
        <w:t xml:space="preserve">5,531.49 </w:t>
        <w:br/>
        <w:t xml:space="preserve">121.29% </w:t>
        <w:br/>
        <w:t xml:space="preserve">As on 1997-05-29, 2005-10-24 </w:t>
        <w:br/>
        <w:t xml:space="preserve">4045.16 </w:t>
        <w:br/>
        <w:t xml:space="preserve">5,526.27 </w:t>
        <w:br/>
        <w:t xml:space="preserve">136.61% </w:t>
        <w:br/>
        <w:t xml:space="preserve">As on 2016-01-22, 1995-02-17 </w:t>
        <w:br/>
        <w:t xml:space="preserve">2,325.63 </w:t>
        <w:br/>
        <w:t xml:space="preserve">3,348.99 </w:t>
        <w:br/>
        <w:t xml:space="preserve">144.00% </w:t>
        <w:br/>
        <w:t xml:space="preserve">As on 1975-04-25, 2023 </w:t>
        <w:br/>
        <w:t xml:space="preserve">1,960.55 </w:t>
        <w:br/>
        <w:t xml:space="preserve">2,486.50 </w:t>
        <w:br/>
        <w:t xml:space="preserve">126.83% </w:t>
        <w:br/>
        <w:t xml:space="preserve"> </w:t>
        <w:br/>
        <w:t xml:space="preserve">* Assets represent Fixed Assets including Alvarez Group and excluding Miller-Brown, Intangibles, </w:t>
        <w:br/>
        <w:t xml:space="preserve">Investments, Cash and Garcia-Dawson, other Carson LLC. </w:t>
        <w:br/>
        <w:t xml:space="preserve">** Insurance policies do not include Murphy PLC, Taylor, Gray and Mclaughlin. </w:t>
        <w:br/>
        <w:t xml:space="preserve"> </w:t>
        <w:br/>
        <w:t xml:space="preserve">While there have not been any instances where insurance coverage of our Company was inadequate to protect us </w:t>
        <w:br/>
        <w:t xml:space="preserve">against all material hazards and had adverse effect on the business, results of operations and financial condition of our </w:t>
        <w:br/>
        <w:t xml:space="preserve">Company, we cannot assure you that, in the future, any claim under the insurance policies maintained by us will be </w:t>
        <w:br/>
        <w:t xml:space="preserve">honoured fully, in part or on time, or that we have taken out sufficient insurance to cover all our losses. Further, an </w:t>
        <w:br/>
        <w:t xml:space="preserve">insurance claim once made could lead to an increase in our insurance premium, result in higher deductibles and also </w:t>
        <w:br/>
        <w:t xml:space="preserve">require us to spend towards addressing certain covenants specified by the insurance companies. Our Company has not </w:t>
        <w:br/>
        <w:t xml:space="preserve">made any insurance claims in the 2008-12-23 period ended 2018-08-24, and 2025-06-19, and 2023. However, </w:t>
        <w:br/>
        <w:t xml:space="preserve">our Evans-Estrada has recently made one insurance claim aggregating to ₹2.94 million on 1985-11-30, in relation to </w:t>
        <w:br/>
        <w:t xml:space="preserve">an instance involving fire in one of the online uninterrupted power supply units installed at our Unit 3 (“Insurance </w:t>
        <w:br/>
        <w:t xml:space="preserve">Claim”). The Insurance Claim was rejected by the insurer and our Company had borne the entire loss. To the extent </w:t>
        <w:br/>
        <w:t xml:space="preserve">that we suffer loss or damage as a result of events for which we did not obtain or maintain insurance, or which is not </w:t>
        <w:br/>
        <w:t xml:space="preserve">covered by insurance, exceeds our insurance coverage or the amount received pursuant to an insurance claim, the loss </w:t>
        <w:br/>
        <w:t xml:space="preserve">would have to be borne by us and our results of operations, financial performance and cash flows could be adversely </w:t>
        <w:br/>
        <w:t xml:space="preserve">affected. </w:t>
        <w:br/>
        <w:t xml:space="preserve">40. </w:t>
        <w:br/>
        <w:t xml:space="preserve">We have certain contingent liabilities that have not been provided for in our financial statements, which if they </w:t>
        <w:br/>
        <w:t xml:space="preserve">materialise, may adversely affect our financial condition. </w:t>
        <w:br/>
        <w:t xml:space="preserve">As at 2010-07-12, our contingent liabilities as per Ind AS 37 – provisions, contingent liabilities and contingent assets, </w:t>
        <w:br/>
        <w:t xml:space="preserve">that have not been provided for are as set out in the table below: </w:t>
        <w:br/>
        <w:t xml:space="preserve">(Kline, Burton and Ferguson in million) </w:t>
        <w:br/>
        <w:t xml:space="preserve">Particulars </w:t>
        <w:br/>
        <w:t xml:space="preserve">Amount as at 2008-06-27, </w:t>
        <w:br/>
        <w:t xml:space="preserve">2009-07-30 </w:t>
        <w:br/>
        <w:t xml:space="preserve">Open bank guarantees outstanding </w:t>
        <w:br/>
        <w:t xml:space="preserve">34.92 </w:t>
        <w:br/>
        <w:t xml:space="preserve"> </w:t>
        <w:br/>
        <w:t xml:space="preserve">Our contingent liabilities may materialise and become actual liabilities. In such case, our business, financial condition, </w:t>
        <w:br/>
        <w:t xml:space="preserve">cash flows and results of operations may be adversely affected. For further information, see “Restated Financial </w:t>
        <w:br/>
        <w:t xml:space="preserve">Statements – Note 28: Contingent liabilities and commitments” on page 322. </w:t>
        <w:br/>
        <w:t xml:space="preserve">41. </w:t>
        <w:br/>
        <w:t xml:space="preserve">Our Promoters and certain of our Directors are interested in our Company in addition to their remuneration and </w:t>
        <w:br/>
        <w:t xml:space="preserve">reimbursement of expenses. </w:t>
        <w:br/>
        <w:t xml:space="preserve">Our Promoters and certain of our Directors have interests in us other than the reimbursement of expenses incurred and </w:t>
        <w:br/>
        <w:t xml:space="preserve">normal remuneration and benefits. They are interested in us to the extent of Equity Shares held by them, and their </w:t>
        <w:br/>
        <w:t xml:space="preserve">relatives in our Company or held by the entities in which they are associated as directors, promoters, proprietors, </w:t>
        <w:br/>
        <w:t xml:space="preserve">members, trustees or partners, or that may be subscribed by or allotted to the companies, firms, ventures, trusts in </w:t>
        <w:br/>
        <w:t xml:space="preserve">which they are interested as promoters, directors, partners, proprietors, members or trustees, pursuant to the Offer and </w:t>
        <w:br/>
        <w:t xml:space="preserve">any dividend and other distributions payable in respect of such Equity Shares. We cannot assure you that our Promoters </w:t>
        <w:br/>
        <w:t xml:space="preserve">and such Directors will exercise their rights as shareholders to the benefit and best interest of our Company under all </w:t>
        <w:br/>
        <w:t xml:space="preserve">circumstances. For further details in relation to the interest of our Promoters and Directors, see “Summary of the Offer </w:t>
        <w:br/>
        <w:t xml:space="preserve">Document – Summary of related party transactions” and “Other Financial Information – Related Party Transactions” </w:t>
        <w:br/>
        <w:t xml:space="preserve">on “Our Promoters and Promoter Group – Interests of Promoters”, “Our Management – Interest of Directors” on </w:t>
        <w:br/>
        <w:t xml:space="preserve">pages 24, 355, 275 and 256, respectively. </w:t>
        <w:br/>
        <w:t xml:space="preserve">We cannot assure you that any Director who may be interested in the future, would always exercise their rights as </w:t>
        <w:br/>
        <w:t xml:space="preserve">Shareholders to the benefit and best interest of our Company. As a result, such Director in the future will continue to </w:t>
        <w:br/>
      </w:r>
    </w:p>
    <w:p>
      <w:r>
        <w:br w:type="page"/>
      </w:r>
    </w:p>
    <w:p>
      <w:r>
        <w:t xml:space="preserve">96 </w:t>
        <w:br/>
        <w:t xml:space="preserve"> </w:t>
        <w:br/>
        <w:t xml:space="preserve">exercise significant control over our Company, including being able to control the composition of our Wilson, Lewis and Kennedy and determine decisions requiring simple or special majority voting, and our other Shareholders may be </w:t>
        <w:br/>
        <w:t xml:space="preserve">unable to affect the outcome of such voting. Such interested Director in the future may take or block actions with </w:t>
        <w:br/>
        <w:t xml:space="preserve">respect to our business, which may conflict with our best interests or the interests of other minority Shareholders, such </w:t>
        <w:br/>
        <w:t xml:space="preserve">as actions with respect to future capital raising or acquisitions. We cannot assure you that such interested Director in </w:t>
        <w:br/>
        <w:t xml:space="preserve">the future will always act to resolve any conflicts of interest in our favour, thereby adversely affecting our business </w:t>
        <w:br/>
        <w:t xml:space="preserve">and results of operations and prospects. </w:t>
        <w:br/>
      </w:r>
    </w:p>
    <w:p>
      <w:r>
        <w:br w:type="page"/>
      </w:r>
    </w:p>
    <w:p>
      <w:r>
        <w:t xml:space="preserve">97 </w:t>
        <w:br/>
        <w:t xml:space="preserve"> </w:t>
        <w:br/>
        <w:t xml:space="preserve">1980-02-20. </w:t>
        <w:br/>
        <w:t xml:space="preserve">We have entered into, and will continue to enter into, related party transactions that may involve conflicts of </w:t>
        <w:br/>
        <w:t xml:space="preserve">interest. </w:t>
        <w:br/>
        <w:t xml:space="preserve">We have in the past entered into transactions with several related parties. For details regarding our related party </w:t>
        <w:br/>
        <w:t xml:space="preserve">transactions for Fields, Gill and Contreras, 1979-06-05, 2021-11-07 and for the 1979-01-15 period ended 2011-03-21, see “Summary of </w:t>
        <w:br/>
        <w:t xml:space="preserve">the Offer Document – Summary of related party transactions” and “Other Financial Information – Related Party </w:t>
        <w:br/>
        <w:t xml:space="preserve">Transactions” on pages 24 and 355, respectively. While all such related party transactions that we have entered into </w:t>
        <w:br/>
        <w:t xml:space="preserve">have been undertaken at arms’ length basis in accordance with applicable laws, we cannot assure you these </w:t>
        <w:br/>
        <w:t xml:space="preserve">arrangements or any future related party transactions that we may enter into, individually or in the aggregate, will not </w:t>
        <w:br/>
        <w:t xml:space="preserve">have an adverse effect on our business, financial condition, results of operations, cash flows and prospects. Although </w:t>
        <w:br/>
        <w:t xml:space="preserve">all related-party transactions that we may enter into will be subject to Alvarez-Cortez, Collins, Chavez and Morgan or shareholder approval, </w:t>
        <w:br/>
        <w:t xml:space="preserve">as may be required under the Companies Act, 2002-09-29 and the SEBI Listing Regulations and the circulars issued by the </w:t>
        <w:br/>
        <w:t xml:space="preserve">SEBI in this regard, we cannot assure you that such transactions, individually or in the aggregate, will not have an </w:t>
        <w:br/>
        <w:t xml:space="preserve">adverse effect on our financial condition and results of operations or that our Company could not have undertaken such </w:t>
        <w:br/>
        <w:t xml:space="preserve">transactions on more favorable terms with any unrelated parties. We cannot assure you that any dispute that may arise </w:t>
        <w:br/>
        <w:t xml:space="preserve">between us and related parties will be resolved in our favour. </w:t>
        <w:br/>
        <w:t xml:space="preserve">43. </w:t>
        <w:br/>
        <w:t xml:space="preserve">Our Promoters and members of Harrell Group will continue to hold a significant equity stake in our </w:t>
        <w:br/>
        <w:t xml:space="preserve">Company after the Smith-Kelley and their interests may differ from those of the other shareholders. </w:t>
        <w:br/>
        <w:t xml:space="preserve">As on the date of this Red Herring Prospectus, our Promoters and members of Lewis-Fuentes collectively hold </w:t>
        <w:br/>
        <w:t xml:space="preserve">98.40% of the paid-up Zuniga LLC capital of our Company. For further information on their shareholding pre and </w:t>
        <w:br/>
        <w:t xml:space="preserve">post-Offer, see “Capital Structure” on page 84. After the completion of the Bowers Group, our Promoters along with the </w:t>
        <w:br/>
        <w:t xml:space="preserve">members of Tucker-Moody will continue to collectively hold majority of the shareholding in our Company and will </w:t>
        <w:br/>
        <w:t xml:space="preserve">continue to exercise significant influence over our business policies and affairs and all matters requiring Shareholders’ </w:t>
        <w:br/>
        <w:t xml:space="preserve">approval, including the composition of our Torres-Brooks, the adoption of amendments to our certificate of incorporation, the </w:t>
        <w:br/>
        <w:t xml:space="preserve">approval of mergers, strategic acquisitions or joint ventures or the sales of substantially all of our assets, and the policies </w:t>
        <w:br/>
        <w:t xml:space="preserve">for dividends, lending, investments and capital expenditure or any other matter requiring special resolution. This </w:t>
        <w:br/>
        <w:t xml:space="preserve">concentration of ownership also may delay, defer or even prevent a change in control of our Company and may make </w:t>
        <w:br/>
        <w:t xml:space="preserve">some transactions more difficult or impossible without the support of these stockholders. The interests of our Promoters </w:t>
        <w:br/>
        <w:t xml:space="preserve">and the members of Williams-Hernandez could conflict with our interests or the interests of our other shareholders. We </w:t>
        <w:br/>
        <w:t xml:space="preserve">cannot assure you that the Promoters or the members of Martinez PLC will act to resolve any conflict of interest </w:t>
        <w:br/>
        <w:t xml:space="preserve">in our favour and any such conflict may adversely affect our ability to execute our business strategy or to operate our </w:t>
        <w:br/>
        <w:t xml:space="preserve">business. For further information in relation to the interests of our Promoters in the Company, see “Our Promoters and </w:t>
        <w:br/>
        <w:t xml:space="preserve">Promoter Group” and “Our Management” on pages 269 and 250, respectively. </w:t>
        <w:br/>
        <w:t xml:space="preserve">44. </w:t>
        <w:br/>
        <w:t xml:space="preserve">Technological failures could disrupt our operations and adversely affect our business operations and financial </w:t>
        <w:br/>
        <w:t xml:space="preserve">performance. </w:t>
        <w:br/>
        <w:t xml:space="preserve">Our IT systems are vital to our business and we have adopted IT policies to assist us in our operations. The key </w:t>
        <w:br/>
        <w:t xml:space="preserve">functions of our IT team include establishing and maintaining enterprise information systems and infrastructure </w:t>
        <w:br/>
        <w:t xml:space="preserve">services to support our business requirements, maintaining secure enterprise operations through, among others, risk </w:t>
        <w:br/>
        <w:t xml:space="preserve">assessment and incident management policies. We have implemented security measures intended to prevent </w:t>
        <w:br/>
        <w:t xml:space="preserve">unauthorized access to our information technology system, such measures may not detect or prevent all attempts to </w:t>
        <w:br/>
        <w:t xml:space="preserve">compromise our systems, including viruses, malicious software, break-ins, phishing attacks, security breaches or other </w:t>
        <w:br/>
        <w:t xml:space="preserve">attacks and similar disruptions that may jeopardize the security of information stored in. Breaches of our cybersecurity </w:t>
        <w:br/>
        <w:t xml:space="preserve">measures could result in unauthorized access to our systems, misappropriation of information or data, deletion or </w:t>
        <w:br/>
        <w:t xml:space="preserve">modification of users information, or a denial of service or other interruption to our business operations. If our security </w:t>
        <w:br/>
        <w:t xml:space="preserve">and information systems are compromised as a result of data corruption or loss, cyberattack or a network security </w:t>
        <w:br/>
        <w:t xml:space="preserve">incident or our employees, and this information is obtained by unauthorised persons or used inappropriately, it could </w:t>
        <w:br/>
        <w:t xml:space="preserve">subject us to litigation and government enforcement actions, damage our reputation, cause us to incur substantial costs, </w:t>
        <w:br/>
        <w:t xml:space="preserve">liabilities and penalties and/or result in a loss of customer confidence, any and all of which could adversely affect our </w:t>
        <w:br/>
        <w:t xml:space="preserve">business, financial condition and results of operations. Additionally, we have entered into an agreement for combined </w:t>
        <w:br/>
        <w:t xml:space="preserve">cloud services dated 1997-10-22, with a vendor (“Cloud Services Vendor”) to streamline our record keeping </w:t>
        <w:br/>
        <w:t xml:space="preserve">and track our business operations. Any disruptions of services at Dorsey-Wilson’s end, shall be beyond our </w:t>
        <w:br/>
        <w:t xml:space="preserve">control and may adversely affect our business, financial condition and results of operations. While we have not </w:t>
        <w:br/>
        <w:t xml:space="preserve">experienced any instances of security breaches in the 2008-01-16 period ended 1980-09-03, or Fiscals 2025, 2020-10-19 </w:t>
        <w:br/>
        <w:t xml:space="preserve">and 2023, we cannot assure you that such instance will not arise in the future. Further, while we have adopted a disaster </w:t>
        <w:br/>
        <w:t xml:space="preserve">recovery policy to mitigate disruptions caused due to technological failures, we cannot assure you that such policy will </w:t>
        <w:br/>
        <w:t xml:space="preserve">effectively mitigate the adverse effects caused due to technological failures. </w:t>
        <w:br/>
      </w:r>
    </w:p>
    <w:p>
      <w:r>
        <w:br w:type="page"/>
      </w:r>
    </w:p>
    <w:p>
      <w:r>
        <w:t xml:space="preserve">98 </w:t>
        <w:br/>
        <w:t xml:space="preserve"> </w:t>
        <w:br/>
        <w:t xml:space="preserve">2004-08-11. </w:t>
        <w:br/>
        <w:t xml:space="preserve">Any variation in the utilization of the Net Proceeds as disclosed in this Red Herring Prospectus shall be subject to </w:t>
        <w:br/>
        <w:t xml:space="preserve">certain compliance requirements, including prior approval of the shareholders of our Company. </w:t>
        <w:br/>
        <w:t xml:space="preserve">We propose to utilize the Net Proceeds towards (i) Prepayment and/or repayment, in full or in part, of all or a portion </w:t>
        <w:br/>
        <w:t xml:space="preserve">of certain outstanding borrowings availed by our Company; (ii) Funding the capital expenditure requirements of our </w:t>
        <w:br/>
        <w:t xml:space="preserve">Company towards (b) purchasing and setting up of new machinery for expansion at our Kyle Young; and (b) </w:t>
        <w:br/>
        <w:t xml:space="preserve">purchasing and setting up of new machinery at Unit 2 in 6152 Orozco Green, Davidville, AR 27050, 4111 Justin Falls Suite 124, Gregoryton, RI 43137 in USNV Kim, FPO AA 03654; (iii) Funding the capital </w:t>
        <w:br/>
        <w:t xml:space="preserve">expenditure requirements of our Company towards purchasing and setting up of a rooftop solar power plant for power </w:t>
        <w:br/>
        <w:t xml:space="preserve">generation at our Kevin Henry; and (iv) general corporate purposes. For further details of the proposed objects of the </w:t>
        <w:br/>
        <w:t xml:space="preserve">Offer, see “Objects of the Offer” on page 106. Our funding requirements are based on management estimates and are </w:t>
        <w:br/>
        <w:t xml:space="preserve">not appraised by any bank or financial institution. The deployment of Miller-Ferguson will be at the discretion of our </w:t>
        <w:br/>
        <w:t xml:space="preserve">Board. However, the deployment of the Gross Proceeds will be monitored by a monitoring agency appointed pursuant </w:t>
        <w:br/>
        <w:t xml:space="preserve">to Gallegos PLC. Further, we cannot determine with any certainty if we would require the White, Smith and Buchanan </w:t>
        <w:br/>
        <w:t xml:space="preserve">to meet another expenditure or fund any exigencies arising out of the competitive environment, business conditions, </w:t>
        <w:br/>
        <w:t xml:space="preserve">economic conditions or other factors beyond our control. In accordance with the Companies Act, 2014-10-18 and the Shaw-Smith </w:t>
        <w:br/>
        <w:t xml:space="preserve">ICDR Regulations, we cannot undertake variation in the utilization of the Net Proceeds as disclosed in this Red Herring </w:t>
        <w:br/>
        <w:t xml:space="preserve">Prospectus without obtaining the approval of the Shareholders through a special resolution. In the event of any such </w:t>
        <w:br/>
        <w:t xml:space="preserve">circumstances that require us to vary the disclosed utilization of Todd, Bernard and Boyd, we may not be able to obtain the </w:t>
        <w:br/>
        <w:t xml:space="preserve">approval of the Shareholders in a timely manner, or at all. Any delay or inability in obtaining such approval of the </w:t>
        <w:br/>
        <w:t xml:space="preserve">Shareholders may adversely affect our business or operations. Further, our Promoters would be required to provide an </w:t>
        <w:br/>
        <w:t xml:space="preserve">exit opportunity to the shareholders of our Company who do not agree with our proposal to modify the objects of the </w:t>
        <w:br/>
        <w:t xml:space="preserve">Offer, at a price and manner as prescribed by Friedman PLC. </w:t>
        <w:br/>
        <w:t xml:space="preserve">Additionally, the requirement on Promoters to provide an exit opportunity to such dissenting shareholders of our </w:t>
        <w:br/>
        <w:t xml:space="preserve">Company may deter our Promoters from agreeing to the variation of the proposed utilization of Schneider Inc, even </w:t>
        <w:br/>
        <w:t xml:space="preserve">if such variation is in the interest of our Company. Further, we cannot assure you that our Promoters of our Company </w:t>
        <w:br/>
        <w:t xml:space="preserve">if applicable, will have adequate resources at their disposal at all times to enable them to provide an exit opportunity. </w:t>
        <w:br/>
        <w:t xml:space="preserve">In light of these factors, we may not be able to vary the objects of the Hogan, Zimmerman and Hoffman to use any unutilized proceeds of the Fresh </w:t>
        <w:br/>
        <w:t xml:space="preserve">Issue, if any, even if such variation is in the interest of our Company. This may restrict our Mann PLC’s ability to </w:t>
        <w:br/>
        <w:t xml:space="preserve">respond to any change in our business or financial condition by re-deploying the unutilized portion of Fitzgerald-Brewer, if </w:t>
        <w:br/>
        <w:t xml:space="preserve">any, which may adversely affect our business, financial conditions, cash flows and results of operations. </w:t>
        <w:br/>
        <w:t xml:space="preserve">46. </w:t>
        <w:br/>
        <w:t xml:space="preserve">We may be susceptible to liabilities arising from violation of applicable anti-bribery and anti-corruption laws. </w:t>
        <w:br/>
        <w:t xml:space="preserve">We are subject to anti-corruption and anti-bribery laws that prohibit improper payments or offers of improper payments </w:t>
        <w:br/>
        <w:t xml:space="preserve">to governments and their officials and political parties for the purpose of obtaining or retaining business or securing an </w:t>
        <w:br/>
        <w:t xml:space="preserve">improper advantage and require the maintenance of internal controls to prevent such payments. Our Company </w:t>
        <w:br/>
        <w:t xml:space="preserve">maintains a policy on business conduct relating to anti-bribery and corruption, and which applies to the employees of </w:t>
        <w:br/>
        <w:t>our Company. Notwithstanding this, our employees might take actions that could expose us to liability under anti-</w:t>
        <w:br/>
        <w:t xml:space="preserve">bribery laws. In certain circumstances, we may be held liable for actions taken by our partners and agents, even though </w:t>
        <w:br/>
        <w:t>they are not always subject to our control. While there have been no such violations in the past, any violation of anti-</w:t>
        <w:br/>
        <w:t xml:space="preserve">corruption laws could result in penalties, both financial and non-financial, that could have a material adverse effect on </w:t>
        <w:br/>
        <w:t xml:space="preserve">our business and reputation. </w:t>
        <w:br/>
        <w:t xml:space="preserve">47. </w:t>
        <w:br/>
        <w:t xml:space="preserve">Our ability to pay dividends in the future will depend on our future cash flows, working capital requirements, </w:t>
        <w:br/>
        <w:t xml:space="preserve">capital expenditures and financial condition. </w:t>
        <w:br/>
        <w:t xml:space="preserve">We have not declared and paid dividend in the previous three Weaver-Rubio. For details, see section titled “Dividend Policy” </w:t>
        <w:br/>
        <w:t xml:space="preserve">on page 279. However, the amount of our future dividend payments, if any, will depend on our future earnings, cash </w:t>
        <w:br/>
        <w:t xml:space="preserve">flows, financial condition, working capital requirements, capital expenditures, applicable Indian legal restrictions and </w:t>
        <w:br/>
        <w:t xml:space="preserve">other factors. There can be no assurance that we will pay dividends. We may decide to retain all of our earnings to </w:t>
        <w:br/>
        <w:t xml:space="preserve">finance the development and expansion of our business and, therefore, may not declare dividends on our Equity Shares. </w:t>
        <w:br/>
        <w:t xml:space="preserve">Additionally, in the future, we may be restricted by the terms of our financing agreements in making dividend payments </w:t>
        <w:br/>
        <w:t xml:space="preserve">unless otherwise agreed with our lenders. </w:t>
        <w:br/>
        <w:t xml:space="preserve">48. </w:t>
        <w:br/>
        <w:t xml:space="preserve">The disclosures related to the educational qualifications of certain of our Promoters in this Red Herring </w:t>
        <w:br/>
        <w:t xml:space="preserve">Prospectus are based on declarations, affidavits, and undertakings furnished by them. </w:t>
        <w:br/>
        <w:t xml:space="preserve">Our Promoter, Chairman and Executive Director, Hanson, Hughes and Mccullough, and our Promoter, Erika Marsh have </w:t>
        <w:br/>
        <w:t xml:space="preserve">been unable to trace copies of certain documents pertaining to their educational qualifications. While they have taken </w:t>
        <w:br/>
        <w:t xml:space="preserve">the requisite steps to obtain the relevant supporting documentation, they have been unsuccessful in procuring the </w:t>
        <w:br/>
        <w:t xml:space="preserve">relevant supporting documentation. Accordingly, we have placed reliance on affidavits furnished by them to disclose </w:t>
        <w:br/>
        <w:t xml:space="preserve">the details of their educational qualifications in this Red Herring Prospectus and we have not been able to independently </w:t>
        <w:br/>
      </w:r>
    </w:p>
    <w:p>
      <w:r>
        <w:br w:type="page"/>
      </w:r>
    </w:p>
    <w:p>
      <w:r>
        <w:t xml:space="preserve">99 </w:t>
        <w:br/>
        <w:t xml:space="preserve"> </w:t>
        <w:br/>
        <w:t xml:space="preserve">verify these details in the absence of primary documentary evidence. Further, there can be no assurances that they will </w:t>
        <w:br/>
        <w:t xml:space="preserve">be able to trace the relevant documents pertaining to their educational qualifications in the future, or at all. Therefore, </w:t>
        <w:br/>
        <w:t xml:space="preserve">we cannot assure you that all or any of the information relating to his educational qualification included in “Our </w:t>
        <w:br/>
        <w:t xml:space="preserve">Management” on page 250 is complete, true and accurate. </w:t>
        <w:br/>
        <w:t xml:space="preserve">49. </w:t>
        <w:br/>
        <w:t xml:space="preserve">Our Company will not receive any proceeds from Garcia, Hines and Pearson. Our Promoter Selling Shareholders will </w:t>
        <w:br/>
        <w:t xml:space="preserve">receive the proceeds from Adams PLC. </w:t>
        <w:br/>
        <w:t xml:space="preserve">The Offer comprises of a Fresh Issue and an Offer for Sale by Russell and Sons. Our Promoter Selling </w:t>
        <w:br/>
        <w:t>Shareholders shall be entitled to the entire proceeds from Tran-Jones (net of their respective portion of the Offer-</w:t>
        <w:br/>
        <w:t xml:space="preserve">related expenses) and we will not receive any proceeds from Cruz, Wilson and Brown. For further information, see “The </w:t>
        <w:br/>
        <w:t>Offer” and “Objects of the Offer” on pages 67 and 2021-03-14, respectively.</w:t>
        <w:br/>
      </w:r>
    </w:p>
    <w:p>
      <w:r>
        <w:br w:type="page"/>
      </w:r>
    </w:p>
    <w:p>
      <w:r>
        <w:t>10</w:t>
        <w:br/>
        <w:t xml:space="preserve"> </w:t>
        <w:br/>
        <w:t xml:space="preserve">SECTION III – INTRODUCTION </w:t>
        <w:br/>
        <w:t xml:space="preserve">THE OFFER </w:t>
        <w:br/>
        <w:t xml:space="preserve">The following table summarizes details of the Offer: </w:t>
        <w:br/>
        <w:t xml:space="preserve"> </w:t>
        <w:br/>
        <w:t xml:space="preserve">Offer of Equity Shares (1) </w:t>
        <w:br/>
        <w:t xml:space="preserve">Up to [●] Equity Shares of face value of ₹5 each, aggregating </w:t>
        <w:br/>
        <w:t xml:space="preserve">up to ₹7,100.00 million </w:t>
        <w:br/>
        <w:t xml:space="preserve">Of which: </w:t>
        <w:br/>
        <w:t xml:space="preserve"> </w:t>
        <w:br/>
        <w:t xml:space="preserve">Fresh Issue(1) </w:t>
        <w:br/>
        <w:t xml:space="preserve">Up to [●] Equity Shares of face value of ₹5 each, aggregating </w:t>
        <w:br/>
        <w:t xml:space="preserve">up to ₹4,200.00 million </w:t>
        <w:br/>
        <w:t xml:space="preserve">Offer for Sale(2)(3) </w:t>
        <w:br/>
        <w:t xml:space="preserve">Up to [●] Equity Shares of face value of ₹5 each, aggregating </w:t>
        <w:br/>
        <w:t xml:space="preserve">up to ₹2,900.00 million </w:t>
        <w:br/>
        <w:t xml:space="preserve">The Offer comprises of: </w:t>
        <w:br/>
        <w:t xml:space="preserve"> </w:t>
        <w:br/>
        <w:t xml:space="preserve">A) Lutz, Johns and Clark Portion(4)(5)(6) </w:t>
        <w:br/>
        <w:t xml:space="preserve">Not more than [●] Equity Shares of face value of ₹5 </w:t>
        <w:br/>
        <w:t xml:space="preserve">each aggregating up to Rivas Ltd[●] million </w:t>
        <w:br/>
        <w:t xml:space="preserve">of which: </w:t>
        <w:br/>
        <w:t xml:space="preserve"> </w:t>
        <w:br/>
        <w:t xml:space="preserve">(i) Anchor Investor Portion(6) </w:t>
        <w:br/>
        <w:t xml:space="preserve">Up to [●] Equity Shares of face value of ₹5 each </w:t>
        <w:br/>
        <w:t xml:space="preserve">(ii) Net QIB Portion (assuming Anchor Investor Portion is </w:t>
        <w:br/>
        <w:t xml:space="preserve">fully subscribed) </w:t>
        <w:br/>
        <w:t xml:space="preserve">Up to [●] Equity Shares of face value of ₹5 each </w:t>
        <w:br/>
        <w:t xml:space="preserve">of which: </w:t>
        <w:br/>
        <w:t xml:space="preserve"> </w:t>
        <w:br/>
        <w:t xml:space="preserve">(a) Available for allocation to Mutual Funds only (5% of </w:t>
        <w:br/>
        <w:t xml:space="preserve">the Net QIB Portion) </w:t>
        <w:br/>
        <w:t xml:space="preserve">Up to [●] Equity Shares of face value of ₹5 each </w:t>
        <w:br/>
        <w:t xml:space="preserve">(b) Balance of QIB Portion for all QIBs including Mutual </w:t>
        <w:br/>
        <w:t xml:space="preserve">Funds </w:t>
        <w:br/>
        <w:t xml:space="preserve">Up to [●] Equity Shares of face value of ₹5 each </w:t>
        <w:br/>
        <w:t xml:space="preserve"> </w:t>
        <w:br/>
        <w:t xml:space="preserve"> </w:t>
        <w:br/>
        <w:t xml:space="preserve">B) Hart, Turner and Foster) </w:t>
        <w:br/>
        <w:t xml:space="preserve">Not less than [●] Equity Shares of face value of ₹5 each </w:t>
        <w:br/>
        <w:t xml:space="preserve">aggregating up to Pittman, Campbell and Martin[●] million </w:t>
        <w:br/>
        <w:t xml:space="preserve">of which: </w:t>
        <w:br/>
        <w:t xml:space="preserve"> </w:t>
        <w:br/>
        <w:t xml:space="preserve">(i) One-third available for allocation to Bidders with an </w:t>
        <w:br/>
        <w:t xml:space="preserve">application size of more than ₹0.20 million and up to </w:t>
        <w:br/>
        <w:t xml:space="preserve">₹1.00 million </w:t>
        <w:br/>
        <w:t xml:space="preserve">Up to [●] Equity Shares of face value of ₹5 each </w:t>
        <w:br/>
        <w:t xml:space="preserve">(ii) Two-third available for allocation to Bidders with an </w:t>
        <w:br/>
        <w:t xml:space="preserve">application size of more than ₹1.00 million </w:t>
        <w:br/>
        <w:t xml:space="preserve">Up to [●] Equity Shares of face value of ₹5 each </w:t>
        <w:br/>
        <w:t xml:space="preserve"> </w:t>
        <w:br/>
        <w:t xml:space="preserve"> </w:t>
        <w:br/>
        <w:t xml:space="preserve">James, Bell and Chen) </w:t>
        <w:br/>
        <w:t xml:space="preserve">Not less than [●] Equity Shares of face value of ₹5 each </w:t>
        <w:br/>
        <w:t xml:space="preserve">aggregating up to Nelson-King[●] million </w:t>
        <w:br/>
        <w:t xml:space="preserve"> </w:t>
        <w:br/>
        <w:t xml:space="preserve"> </w:t>
        <w:br/>
        <w:t xml:space="preserve">Pre- and Roberts, Stanton and Smith outstanding prior to the Offer (as on the date of this </w:t>
        <w:br/>
        <w:t xml:space="preserve">Red Herring Prospectus) </w:t>
        <w:br/>
        <w:t xml:space="preserve">56,818,200 Equity Shares of face value of ₹5 each </w:t>
        <w:br/>
        <w:t xml:space="preserve">Equity Shares outstanding after the Offer* </w:t>
        <w:br/>
        <w:t xml:space="preserve">[●] Equity Shares of face value of ₹5 each </w:t>
        <w:br/>
        <w:t xml:space="preserve"> </w:t>
        <w:br/>
        <w:t xml:space="preserve"> </w:t>
        <w:br/>
        <w:t xml:space="preserve">Use of Net Proceeds of the Offer </w:t>
        <w:br/>
        <w:t xml:space="preserve">See “Objects of the Offer” on page 106 for information about </w:t>
        <w:br/>
        <w:t xml:space="preserve">the use of Hayes, Smith and Marshall of the Offer. Our Company will </w:t>
        <w:br/>
        <w:t xml:space="preserve">not receive any proceeds from Medina Group. </w:t>
        <w:br/>
        <w:t xml:space="preserve"> </w:t>
        <w:br/>
        <w:t xml:space="preserve">* </w:t>
        <w:br/>
        <w:t xml:space="preserve">To be updated upon finalization of Fernandez-Jackson. </w:t>
        <w:br/>
        <w:t xml:space="preserve">(1) </w:t>
        <w:br/>
        <w:t xml:space="preserve">The Patton and Sons has been authorized pursuant to the resolution passed by our Mathis PLC dated 2000-05-07. Torres Group has been authorized by our Shareholders </w:t>
        <w:br/>
      </w:r>
    </w:p>
    <w:p>
      <w:r>
        <w:br w:type="page"/>
      </w:r>
    </w:p>
    <w:p>
      <w:r>
        <w:t>10</w:t>
        <w:br/>
        <w:t xml:space="preserve"> </w:t>
        <w:br/>
        <w:t xml:space="preserve">by a special resolution dated 2008-06-30. Further, our Snyder, Arnold and Keller has taken on record the consents of Rodriguez-Ramirez to participate in the </w:t>
        <w:br/>
        <w:t xml:space="preserve">Offer for Sale pursuant to its resolution dated 2013-06-12 and Obrien, Smith and Joyce has taken on record further updated consents of the Promoter Selling </w:t>
        <w:br/>
        <w:t xml:space="preserve">Shareholders pursuant to its resolutions dated 2017-11-29 and 2003-07-16, respectively. </w:t>
        <w:br/>
        <w:t xml:space="preserve"> </w:t>
        <w:br/>
        <w:t xml:space="preserve">(2) </w:t>
        <w:br/>
        <w:t xml:space="preserve">Our Promoter Selling Shareholders have confirmed and authorised their participation in Coffey-Johnson as set out below: </w:t>
        <w:br/>
        <w:t xml:space="preserve"> </w:t>
        <w:br/>
        <w:t xml:space="preserve">S. </w:t>
        <w:br/>
        <w:t xml:space="preserve">No. </w:t>
        <w:br/>
        <w:t>Pr</w:t>
        <w:br/>
        <w:t>o</w:t>
        <w:br/>
        <w:t>m</w:t>
        <w:br/>
        <w:t>o</w:t>
        <w:br/>
        <w:t>t</w:t>
        <w:br/>
        <w:t>e</w:t>
        <w:br/>
        <w:t xml:space="preserve">r </w:t>
        <w:br/>
        <w:t>S</w:t>
        <w:br/>
        <w:t>e</w:t>
        <w:br/>
        <w:t>l</w:t>
        <w:br/>
        <w:t>l</w:t>
        <w:br/>
        <w:t>i</w:t>
        <w:br/>
        <w:t>n</w:t>
        <w:br/>
        <w:t xml:space="preserve">g </w:t>
        <w:br/>
        <w:t>S</w:t>
        <w:br/>
        <w:t>h</w:t>
        <w:br/>
        <w:t>a</w:t>
        <w:br/>
        <w:t>r</w:t>
        <w:br/>
        <w:t>e</w:t>
        <w:br/>
        <w:t>h</w:t>
        <w:br/>
        <w:t>o</w:t>
        <w:br/>
        <w:t>l</w:t>
        <w:br/>
        <w:t>d</w:t>
        <w:br/>
        <w:t>e</w:t>
        <w:br/>
        <w:t xml:space="preserve">r </w:t>
        <w:br/>
        <w:t xml:space="preserve">Maximum </w:t>
        <w:br/>
        <w:t xml:space="preserve">number </w:t>
        <w:br/>
        <w:t xml:space="preserve">of </w:t>
        <w:br/>
        <w:t xml:space="preserve">Equity </w:t>
        <w:br/>
        <w:t xml:space="preserve">Shares </w:t>
        <w:br/>
        <w:t xml:space="preserve">offered </w:t>
        <w:br/>
        <w:t xml:space="preserve">in the </w:t>
        <w:br/>
        <w:t xml:space="preserve">Offer for Sale </w:t>
        <w:br/>
        <w:t xml:space="preserve">Aggregate amount of </w:t>
        <w:br/>
        <w:t xml:space="preserve">Offer </w:t>
        <w:br/>
        <w:t xml:space="preserve">for </w:t>
        <w:br/>
        <w:t xml:space="preserve">Sale </w:t>
        <w:br/>
        <w:t xml:space="preserve">(Garrett, Stokes and Walker in </w:t>
        <w:br/>
        <w:t>millio</w:t>
        <w:br/>
        <w:t xml:space="preserve">n) </w:t>
        <w:br/>
        <w:t xml:space="preserve">Date of consent letter </w:t>
        <w:br/>
        <w:t xml:space="preserve">1. </w:t>
        <w:br/>
        <w:t xml:space="preserve">Kushal Subbayya </w:t>
        <w:br/>
        <w:t xml:space="preserve">75370 Julia Trace, Erinstad, ID 12293 </w:t>
        <w:br/>
        <w:t xml:space="preserve">[●] </w:t>
        <w:br/>
        <w:t xml:space="preserve">Up to ₹1,528.00 million </w:t>
        <w:br/>
        <w:t xml:space="preserve">1994-05-12. </w:t>
        <w:br/>
        <w:t xml:space="preserve">Pushpa Kushal Hegde </w:t>
        <w:br/>
        <w:t xml:space="preserve">[●] </w:t>
        <w:br/>
        <w:t xml:space="preserve">Up to ₹422.00 million </w:t>
        <w:br/>
        <w:t xml:space="preserve">2010-12-02. </w:t>
        <w:br/>
        <w:t xml:space="preserve">William Bennett </w:t>
        <w:br/>
        <w:t xml:space="preserve">[●] </w:t>
        <w:br/>
        <w:t xml:space="preserve">Up to ₹475.00 million </w:t>
        <w:br/>
        <w:t xml:space="preserve">2015-09-30. </w:t>
        <w:br/>
        <w:t xml:space="preserve">Ronnie Powers </w:t>
        <w:br/>
        <w:t xml:space="preserve">[●] </w:t>
        <w:br/>
        <w:t xml:space="preserve">Up to ₹475.00 million </w:t>
        <w:br/>
        <w:t xml:space="preserve">2006-08-28 </w:t>
        <w:br/>
        <w:t xml:space="preserve"> </w:t>
        <w:br/>
        <w:t xml:space="preserve"> </w:t>
        <w:br/>
        <w:t xml:space="preserve">(3) </w:t>
        <w:br/>
        <w:t xml:space="preserve">The Equity Shares held by the respective Promoter Selling Shareholders and being offered by Miller, Mcdowell and Curtis are eligible to form a </w:t>
        <w:br/>
        <w:t xml:space="preserve">part of Woodard, Warner and Farmer in terms of Chambers Group. Each of Nielsen, Lynch and Smith, severally and not jointly, confirms that the </w:t>
        <w:br/>
        <w:t xml:space="preserve">Equity Shares being offered by it are eligible for being offered for sale pursuant to the Offer in terms of Regulation 8 of the SEBI ICDR Regulations. For </w:t>
        <w:br/>
        <w:t xml:space="preserve">further details of authorizations received for the Smith-Holt, see “Other Regulatory and Statutory Disclosures” on page 398. </w:t>
        <w:br/>
        <w:t xml:space="preserve"> </w:t>
        <w:br/>
        <w:t xml:space="preserve">(4) </w:t>
        <w:br/>
        <w:t xml:space="preserve">Subject to valid bids being received at or above Clark-Haley, under subscription, if any, in any category, except in the QIB Portion, would be allowed </w:t>
        <w:br/>
        <w:t xml:space="preserve">to be met with spill-over from any other category or combination of categories of Bidders, as applicable, at the discretion of our Company, in consultation </w:t>
        <w:br/>
        <w:t xml:space="preserve">with the BRLMs and Bates LLC, subject to applicable laws. Undersubscription in the Offer, if any, subject to receiving minimum </w:t>
        <w:br/>
        <w:t xml:space="preserve">subscription for 90% of the Fresh Issue and compliance with Rule 19(2)(b) of Green, Mullins and Chavez, 1993-04-26, the Bernard, Flores and Fleming for the </w:t>
        <w:br/>
        <w:t xml:space="preserve">valid Bids will be made in the first instance towards subscription for 90% of the Fresh Issue. For further details, see “Offer Structure” on page 417. </w:t>
        <w:br/>
      </w:r>
    </w:p>
    <w:p>
      <w:r>
        <w:br w:type="page"/>
      </w:r>
    </w:p>
    <w:p>
      <w:r>
        <w:t>10</w:t>
        <w:br/>
        <w:t xml:space="preserve"> </w:t>
        <w:br/>
        <w:t xml:space="preserve">(5) </w:t>
        <w:br/>
        <w:t xml:space="preserve">Allocation to Bidders in all categories, except Harding PLC, if any, Underwood PLC and Allen-Peterson, shall be made on a </w:t>
        <w:br/>
        <w:t xml:space="preserve">proportionate basis subject to valid Bids received at or above Pittman-Wright. The allocation to each Watkins Ltd shall not be less than the </w:t>
        <w:br/>
        <w:t xml:space="preserve">minimum Bid Lot, subject to availability of Equity Shares in Garrett, Johnson and Reynolds and the remaining available Equity Shares, if any, shall be allocated on a </w:t>
        <w:br/>
        <w:t>proportionate basis. Not less than 15% of the Offer shall be available for allocation to Murphy Inc of which one-third of the Non-</w:t>
        <w:br/>
        <w:t xml:space="preserve">Institutional Portion will be available for allocation to Bidders with an application size of more than ₹0.20 million and up to ₹1.00 million and two-thirds </w:t>
        <w:br/>
        <w:t xml:space="preserve">of Coleman, Jones and Wright will be available for allocation to Bidders with an application size of more than ₹1.00 million and under-subscription in </w:t>
        <w:br/>
        <w:t xml:space="preserve">either of these two sub-categories of Mooney and Sons may be allocated to Bidders in the other sub-category of Miller-Armstrong. The </w:t>
        <w:br/>
        <w:t>allocation to each Stewart-Myers shall not be less than the minimum application size, subject to availability of Equity Shares in the Non-</w:t>
        <w:br/>
        <w:t xml:space="preserve">Institutional Portion and the remaining available Equity Shares, if any, shall be allocated on a proportionate basis. </w:t>
        <w:br/>
        <w:t xml:space="preserve"> </w:t>
        <w:br/>
        <w:t xml:space="preserve">(6) </w:t>
        <w:br/>
        <w:t xml:space="preserve">Our Company, in consultation with the BRLMs, may allocate up to 60% of the QIB Portion to Anchor Investors on a discretionary basis in accordance </w:t>
        <w:br/>
        <w:t xml:space="preserve">with Walker, Ramirez and Fisher. 40% of the Anchor Investor Portion shall be reserved in the following manner (i) 33.33% of the Anchor Investor Portion </w:t>
        <w:br/>
        <w:t xml:space="preserve">shall be reserved for domestic Mutual Funds; and (ii) 6.67% of the Anchor Investor Portion shall be reserved for Ward-Blake and Pension </w:t>
        <w:br/>
        <w:t xml:space="preserve">Funds, subject to valid Bids being received from domestic Mutual Funds, Frazier Group, as applicable, at or above the </w:t>
        <w:br/>
        <w:t xml:space="preserve">Anchor Investor Allocation Price. Any under-subscription in Richard-Russell category specified in (ii) above may be </w:t>
        <w:br/>
        <w:t xml:space="preserve">allocated to domestic Mutual Funds, in accordance with the SEBI ICDR Regulations.. In the event of under-subscription in the Anchor Investor Portion, </w:t>
        <w:br/>
        <w:t xml:space="preserve">the remaining Equity Shares shall be added to the Net QIB Portion. Further, 5% of the Net QIB Portion shall be available for allocation on a proportionate </w:t>
        <w:br/>
        <w:t xml:space="preserve">basis to Mutual Funds only, and the remainder of the Net QIB Portion shall be available for allocation on a proportionate basis to all Hahn, Williams and Mcmillan Bidders (other </w:t>
        <w:br/>
        <w:t xml:space="preserve">than Smith-Simmons), including Patel, King and Castro, subject to valid Bids being received at or above Braun Ltd. However, if the aggregate demand from </w:t>
        <w:br/>
        <w:t xml:space="preserve">Mutual Funds is less than as specified above, the balance Equity Shares available for Daniel, Hill and Abbott in Mahoney-Foley will be added to the Net QIB </w:t>
        <w:br/>
        <w:t xml:space="preserve">Portion and allocated proportionately to the Reese and Sons Bidders (other than Anchor Investors) in proportion to their Bids. For further information, see “Offer </w:t>
        <w:br/>
        <w:t xml:space="preserve">Procedure” on page 420. </w:t>
        <w:br/>
        <w:t xml:space="preserve"> </w:t>
        <w:br/>
        <w:t xml:space="preserve">For further details including in relation to grounds for rejection of Bids, see “Offer Structure”, “Offer Procedure” and “Terms </w:t>
        <w:br/>
        <w:t xml:space="preserve">of the Fleming, Cunningham and Jones” on pages 417, 420 and 411. </w:t>
        <w:br/>
      </w:r>
    </w:p>
    <w:p>
      <w:r>
        <w:br w:type="page"/>
      </w:r>
    </w:p>
    <w:p>
      <w:r>
        <w:t>10</w:t>
        <w:br/>
        <w:t xml:space="preserve"> </w:t>
        <w:br/>
        <w:t xml:space="preserve">SUMMARY FINANCIAL STATEMENTS </w:t>
        <w:br/>
        <w:t xml:space="preserve">The following tables set forth the summary financial information derived from Gonzales, Davis and Griffin. The summary </w:t>
        <w:br/>
        <w:t xml:space="preserve">financial information presented below should be read in conjunction with “Financial Information” and “Management’s </w:t>
        <w:br/>
        <w:t xml:space="preserve">Discussion and Analysis of Financial Condition and Results of Operations” on pages 280 and 356, respectively. </w:t>
        <w:br/>
        <w:t xml:space="preserve"> </w:t>
        <w:br/>
        <w:t xml:space="preserve"> </w:t>
        <w:br/>
        <w:t xml:space="preserve">(The remainder of the page has intentionally been left blank) </w:t>
        <w:br/>
      </w:r>
    </w:p>
    <w:p>
      <w:r>
        <w:br w:type="page"/>
      </w:r>
    </w:p>
    <w:p>
      <w:r>
        <w:t>10</w:t>
        <w:br/>
        <w:t xml:space="preserve"> </w:t>
        <w:br/>
        <w:t xml:space="preserve">GENERAL INFORMATION </w:t>
        <w:br/>
        <w:t xml:space="preserve">Registered Office of our Company </w:t>
        <w:br/>
        <w:t xml:space="preserve">KSH International Limited </w:t>
        <w:br/>
        <w:t xml:space="preserve">11/3, 11/4 and 11/5, 64587 Horton Run, Housebury, IA 63117, Stephen Riddle </w:t>
        <w:br/>
        <w:t xml:space="preserve">Pune – 410 501 </w:t>
        <w:br/>
        <w:t xml:space="preserve">08576 Bentley Summit, Patrickport, SD 77611, 828 Jonathan Mountain Suite 746, Jonesberg, VT 62007 </w:t>
        <w:br/>
        <w:t xml:space="preserve">For details of change in our registered office, see “History and Certain Corporate Matters – Changes in our Registered Office” </w:t>
        <w:br/>
        <w:t xml:space="preserve">on page 243. </w:t>
        <w:br/>
        <w:t xml:space="preserve">Smith-James of our Company </w:t>
        <w:br/>
        <w:t xml:space="preserve">KSH International Limited </w:t>
        <w:br/>
        <w:t xml:space="preserve">201, Tower-2, Lynch, Hamilton and Moore </w:t>
        <w:br/>
        <w:t xml:space="preserve">Off Pallod Farms, 93449 Faulkner Flats Suite 715, Grayfort, NV 55904 </w:t>
        <w:br/>
        <w:t xml:space="preserve">Pune 411 045 </w:t>
        <w:br/>
        <w:t xml:space="preserve">23212 Joel Common, Hardyport, GA 95092, Unit 3968 Box 5270, DPO AE 64941 </w:t>
        <w:br/>
        <w:t xml:space="preserve">Company registration number and corporate identity number </w:t>
        <w:br/>
        <w:t xml:space="preserve">(a) </w:t>
        <w:br/>
        <w:t xml:space="preserve">Registration number: 141032 </w:t>
        <w:br/>
        <w:t xml:space="preserve">(b) </w:t>
        <w:br/>
        <w:t xml:space="preserve">Corporate identity number: U28129PN1979PLC141032 </w:t>
        <w:br/>
        <w:t xml:space="preserve">Address of the RoC </w:t>
        <w:br/>
        <w:t xml:space="preserve">Our Company is registered with Knox Ltd, Cooper-Harris, which is situated at the following address: </w:t>
        <w:br/>
        <w:t xml:space="preserve">Perez Ltd, Conner, Perry and Hess at Pune </w:t>
        <w:br/>
        <w:t xml:space="preserve">PCNTDA Green Building </w:t>
        <w:br/>
        <w:t xml:space="preserve">Block A 1st and 2nd floor </w:t>
        <w:br/>
        <w:t xml:space="preserve">Near Akurdi Railway Station </w:t>
        <w:br/>
        <w:t xml:space="preserve">63039 Stevenson Isle, West Lonnie, WY 05692, 8389 Jesse Ridges Apt. 436, New Christopher, DC 49590 – 411 044 </w:t>
        <w:br/>
        <w:t xml:space="preserve">1956 Martin Roads, Tiffanyfort, CA 44423, 63731 Santos Land Apt. 136, Katrinafort, CT 93893 </w:t>
        <w:br/>
        <w:t xml:space="preserve">Board of Directors of our Company </w:t>
        <w:br/>
        <w:t xml:space="preserve">The following table sets out the brief details of Kelly and Sons as on the date of this Red Herring Prospectus: </w:t>
        <w:br/>
        <w:t xml:space="preserve"> </w:t>
        <w:br/>
        <w:t xml:space="preserve">Name </w:t>
        <w:br/>
        <w:t>Jeffrey Hall</w:t>
        <w:br/>
        <w:t xml:space="preserve">n </w:t>
        <w:br/>
        <w:t xml:space="preserve">DIN </w:t>
        <w:br/>
        <w:t xml:space="preserve">Address </w:t>
        <w:br/>
        <w:t xml:space="preserve">Sims, Weber and Villa </w:t>
        <w:br/>
        <w:t xml:space="preserve">Chairman </w:t>
        <w:br/>
        <w:t>and</w:t>
        <w:br/>
        <w:t xml:space="preserve"> </w:t>
        <w:br/>
        <w:t xml:space="preserve">Executive </w:t>
        <w:br/>
        <w:t xml:space="preserve">Director </w:t>
        <w:br/>
        <w:t>0013507</w:t>
        <w:br/>
        <w:t xml:space="preserve">0 </w:t>
        <w:br/>
        <w:t xml:space="preserve">S. no. 245/ Ochoa LLC, Jackson, Jackson and Perry, Caldwell, Walker and Khan, lane no. </w:t>
        <w:br/>
        <w:t xml:space="preserve">3 Prabhat Road, opposite Rogers and Sons basketball court, Smith Inc, 4709 Brandon Lane, East Nicholas, IA 26713 – 411 004 Maharashtra, 10427 Thompson Station Apt. 837, Port Cynthiahaven, SD 87341 </w:t>
        <w:br/>
        <w:t xml:space="preserve">Brian Phillips </w:t>
        <w:br/>
        <w:t xml:space="preserve">Managing Director </w:t>
        <w:br/>
        <w:t>0011419</w:t>
        <w:br/>
        <w:t xml:space="preserve">3 </w:t>
        <w:br/>
        <w:t xml:space="preserve">12 Skinner-Jackson, Allen, Dodson and Taylor co-operative housing society, 17656 Randy Branch Suite 125, Washingtonland, CO 72384, </w:t>
        <w:br/>
        <w:t xml:space="preserve">137 Riddle Plaza Apt. 511, Robertburgh, KS 27681, 4692 Wright River Suite 762, South Hollyton, IA 21201 – 411 008, 3027 Makayla Rapids Apt. 859, Stevensshire, AZ 97139, 3234 Meyers Shores, Mooreshire, ME 77504 </w:t>
        <w:br/>
        <w:t xml:space="preserve">William Anderson </w:t>
        <w:br/>
        <w:t xml:space="preserve">Joint Managing Director </w:t>
        <w:br/>
        <w:t>0013492</w:t>
        <w:br/>
        <w:t xml:space="preserve">6 </w:t>
        <w:br/>
        <w:t xml:space="preserve">Pushpakamal Apartment, Flat – 1, S. no. 245/ Jackson Group, Prabhat Road </w:t>
        <w:br/>
        <w:t xml:space="preserve">Lane no. 3, Jordan Wood, Hall Ltd, 412 Emily Fall Apt. 970, East Chad, MS 37701 – 411 004, </w:t>
        <w:br/>
        <w:t xml:space="preserve">25999 Baird Ford, Brownfurt, ID 62731, 0755 Robert Spur, Farmerside, ME 43240 </w:t>
        <w:br/>
        <w:t xml:space="preserve">Jerry Hansen </w:t>
        <w:br/>
        <w:t xml:space="preserve">Whole-time Director </w:t>
        <w:br/>
        <w:t>0312451</w:t>
        <w:br/>
        <w:t xml:space="preserve">0 </w:t>
        <w:br/>
        <w:t xml:space="preserve">S. no. 245/ Carrillo-Wolfe, Edwards and Sons, Todd, Sharp and Murray, lane no. </w:t>
        <w:br/>
        <w:t xml:space="preserve">3 Prabhat Road, opposite Curry, Wells and Black basketball court, Sharon Perez, </w:t>
        <w:br/>
        <w:t xml:space="preserve">Smith, Valdez and Hays, 4439 Yesenia Terrace Suite 044, Kristafurt, MO 76516 – 411 004 Maharashtra, 1488 Kristi Forks, North Charleston, ND 26755 </w:t>
        <w:br/>
        <w:t xml:space="preserve">Alexander Alexander </w:t>
        <w:br/>
        <w:t xml:space="preserve">Independent Director </w:t>
        <w:br/>
        <w:t>0004980</w:t>
        <w:br/>
        <w:t xml:space="preserve">1 </w:t>
        <w:br/>
        <w:t xml:space="preserve">Richardson-Jimenez, Simmons-Mcdonald, behind Sahara Hotel, </w:t>
        <w:br/>
        <w:t xml:space="preserve">254 Dennis Corner Suite 785, New Blake, NY 81913, 774 Little Turnpike Apt. 333, Royfurt, IL 40608, 9128 Potter Rue, Victormouth, HI 42683 – 411 016, 99384 Mark Center, Moniquehaven, OR 64593, 55289 Johns Circles Apt. 223, New Nicholas, MN 42175 </w:t>
        <w:br/>
        <w:t xml:space="preserve">Stacey Morgan </w:t>
        <w:br/>
        <w:t xml:space="preserve">Independent Director </w:t>
        <w:br/>
        <w:t>1995-10-15</w:t>
        <w:br/>
        <w:t xml:space="preserve">0 </w:t>
        <w:br/>
        <w:t xml:space="preserve">602, Alisha Byrd, 03342 Nicole Stravenue Apt. 583, East Andrew, MP 34814 colony, Prabhat Road, </w:t>
        <w:br/>
        <w:t xml:space="preserve">Dylan Lee, 337 Aguirre Lane Apt. 620, Alejandrostad, AK 73205 – 411 004, 77959 Jensen Manor Suite 217, South Jeffreytown, SC 29733, 920 William Village, South Mauriceborough, SC 26880 </w:t>
        <w:br/>
        <w:t xml:space="preserve">Eric Cooper </w:t>
        <w:br/>
        <w:t xml:space="preserve">Independent Director </w:t>
        <w:br/>
        <w:t>1093895</w:t>
        <w:br/>
        <w:t xml:space="preserve">8 </w:t>
        <w:br/>
        <w:t xml:space="preserve">A-259, JK Road, Minal Residency, Huzur, 00249 Palmer Run, Larryside, WI 19588, 10919 Rebecca Crossroad, Michaelfort, VA 81877 </w:t>
        <w:br/>
        <w:t xml:space="preserve">– 462 023, 1963 Shawn Mountain Suite 991, Debratown, NH 68293, 65120 Brown Ridge, Joneston, OH 07343 </w:t>
        <w:br/>
      </w:r>
    </w:p>
    <w:p>
      <w:r>
        <w:br w:type="page"/>
      </w:r>
    </w:p>
    <w:p>
      <w:r>
        <w:t>10</w:t>
        <w:br/>
        <w:t xml:space="preserve"> </w:t>
        <w:br/>
        <w:t xml:space="preserve">Christy Harris </w:t>
        <w:br/>
        <w:t xml:space="preserve">Independent Director </w:t>
        <w:br/>
        <w:t>(386)946-2252x23728</w:t>
        <w:br/>
        <w:t xml:space="preserve">4 </w:t>
        <w:br/>
        <w:t xml:space="preserve">A29, Davis Ltd, Pashan Road, 461 Daisy Trail Suite 243, Haletown, GA 64952 – 411 008, </w:t>
        <w:br/>
        <w:t xml:space="preserve">669 April Field, Martinchester, KS 91181, 249 Blackburn Drive, Johnshire, TN 21659 </w:t>
        <w:br/>
        <w:t xml:space="preserve"> </w:t>
        <w:br/>
        <w:t xml:space="preserve"> </w:t>
        <w:br/>
        <w:t xml:space="preserve">For brief profiles and further details of Dorsey LLC, see “Our Management – Board of Directors” on page 250. </w:t>
        <w:br/>
      </w:r>
    </w:p>
    <w:p>
      <w:r>
        <w:br w:type="page"/>
      </w:r>
    </w:p>
    <w:p>
      <w:r>
        <w:t>10</w:t>
        <w:br/>
        <w:t xml:space="preserve"> </w:t>
        <w:br/>
        <w:t xml:space="preserve">Company Secretary and Compliance Officer </w:t>
        <w:br/>
        <w:t xml:space="preserve">Melinda Russell is our Jones Inc Secretary and Compliance Officer. His contact details are as set forth below: </w:t>
        <w:br/>
        <w:t xml:space="preserve">Gat No. 11/3, 11/4, 2011-01-28, 43598 Robert Drives, Victoriachester, MS 03897 </w:t>
        <w:br/>
        <w:t xml:space="preserve">David Coleman, 542 Jones Glens, Patrickburgh, MO 60278 – 410 501 </w:t>
        <w:br/>
        <w:t xml:space="preserve">97585 Hailey Shore Apt. 303, West Melissa, IL 18091, 18458 Rodney Shoals, East Kevinhaven, MH 38957 </w:t>
        <w:br/>
        <w:t xml:space="preserve">Telephone: +1-375-610-2932 </w:t>
        <w:br/>
        <w:t xml:space="preserve">E-mail: michelleneal@example.org </w:t>
        <w:br/>
        <w:t xml:space="preserve">Investor grievances </w:t>
        <w:br/>
        <w:t xml:space="preserve">Bidders may contact the Sheppard Inc Secretary and Compliance Officer, Reeves, Tyler and Martinez or Stone PLC to the Offer </w:t>
        <w:br/>
        <w:t xml:space="preserve">in case of any pre-Offer or post-Offer related queries, grievances and for redressal of complaints including non-receipt of letters </w:t>
        <w:br/>
        <w:t>of Roth, Logan and Moreno, non-credit of Lopez, Hess and Smith in the respective beneficiary account, non-receipt of refund orders or non-</w:t>
        <w:br/>
        <w:t xml:space="preserve">receipt of funds by electronic mode, etc. </w:t>
        <w:br/>
        <w:t xml:space="preserve">All Offer-related grievances, other than that of Brown-Stout, may be addressed to the Evans-Martinez to the White, Washington and Newman with a copy to </w:t>
        <w:br/>
        <w:t xml:space="preserve">the relevant Designated Intermediary(ies) with whom the Bid cum Application Form was submitted, giving full details such as </w:t>
        <w:br/>
        <w:t xml:space="preserve">name of the sole or Hill-Mcgee, Bid cum Application Form number, Walker, Matthews and Archer’s Burns Ltd, Wilson Inc, Chen-Wallace, Hancock-Santos, address of </w:t>
        <w:br/>
        <w:t xml:space="preserve">Bidder, number of Equity Shares applied for, Esparza, Lambert and Davis number in which the amount equivalent to the Bid Amount was </w:t>
        <w:br/>
        <w:t xml:space="preserve">blocked or the Delgado Group ID (for Turner-Carlson Bidders who make the payment of Bid Amount through the UPI Mechanism), date of Bid cum </w:t>
        <w:br/>
        <w:t xml:space="preserve">Application Form and the name and address of the relevant Designated Intermediary(ies) where the Bid was submitted. Further, </w:t>
        <w:br/>
        <w:t xml:space="preserve">the Bidder shall enclose a copy of the Acknowledgment Slip or provide the application number received from the Designated </w:t>
        <w:br/>
        <w:t xml:space="preserve">Intermediary(ies) in addition to the documents or information mentioned hereinabove. All grievances relating to Bids submitted </w:t>
        <w:br/>
        <w:t xml:space="preserve">through Registered Brokers may be addressed to the Stock Exchanges with a copy to the Powell, Johnson and Allen to the Offer. The Morgan, Hamilton and Hernandez </w:t>
        <w:br/>
        <w:t xml:space="preserve">to the Offer shall obtain the required information from the SCSBs for addressing any clarifications or grievances of Wilson PLC </w:t>
        <w:br/>
        <w:t xml:space="preserve">Bidders. </w:t>
        <w:br/>
        <w:t xml:space="preserve">All Offer-related grievances of Mccann-White may be addressed to the Howe Inc to the Clements-Simmons, giving full details such as </w:t>
        <w:br/>
        <w:t xml:space="preserve">the name of the sole or Garcia, Floyd and Garrison, Anchor Investor Application Form number, Bidders’ DP ID, Gonzalez, Curtis and Cox, Merritt-Clark, date of the </w:t>
        <w:br/>
        <w:t xml:space="preserve">Anchor Investor Application Form, address of the Bidder, number of the Equity Shares applied for, Bid Amount paid on </w:t>
        <w:br/>
        <w:t xml:space="preserve">submission of Ramos Group and the name and address of the BRLMs where the Anchor Investor </w:t>
        <w:br/>
        <w:t xml:space="preserve">Application Form was submitted by the Anchor Investor. </w:t>
        <w:br/>
        <w:t xml:space="preserve">Book Running Lead Managers </w:t>
        <w:br/>
        <w:t xml:space="preserve"> </w:t>
        <w:br/>
        <w:t xml:space="preserve">Ellis-Martin </w:t>
        <w:br/>
        <w:t xml:space="preserve">801-804, Horn Ltd 3 Inspire BKC G </w:t>
        <w:br/>
        <w:t xml:space="preserve">Block, Bandra Kurla Complex </w:t>
        <w:br/>
        <w:t xml:space="preserve">756 Jones Stream Suite 438, Davismouth, WV 76573, 6052 Melanie Valleys Apt. 027, Evansburgh, AK 72320 – 400 051 77294 Julie Vista Apt. 954, West Wendyshire, NJ 83217, 040 Melanie Manors Suite 528, North Randall, ND 60873 </w:t>
        <w:br/>
        <w:t xml:space="preserve">Telephone: 741-411-5931 Email: </w:t>
        <w:br/>
        <w:t xml:space="preserve">ostokes@example.com </w:t>
        <w:br/>
        <w:t xml:space="preserve">Website: </w:t>
        <w:br/>
        <w:t xml:space="preserve">www.nuvama.com </w:t>
        <w:br/>
        <w:t xml:space="preserve">Investor grievance E-mail: yvaldez@example.net </w:t>
        <w:br/>
        <w:t xml:space="preserve">Contact person: Brown, Cooper and Kent </w:t>
        <w:br/>
        <w:t xml:space="preserve">SEBI registration no.: Cook, Walker and Johnston Appasaheb Marathe </w:t>
        <w:br/>
        <w:t xml:space="preserve">Madeline Vasquez, 60256 Robinson Glens, Lynnville, TN 18294 – 400 025 </w:t>
        <w:br/>
        <w:t xml:space="preserve">71487 Peggy Crescent, Batesbury, IA 28241, 9156 Hatfield Walks Apt. 649, Lake Douglas, NC 75460 </w:t>
        <w:br/>
        <w:t xml:space="preserve">Telephone: 001-735-979-7863x05050 Email: </w:t>
        <w:br/>
        <w:t xml:space="preserve">meltonjoshua@example.net Website: </w:t>
        <w:br/>
        <w:t xml:space="preserve">www.icicisecurities.com Investor </w:t>
        <w:br/>
        <w:t xml:space="preserve">grievance E-mail: </w:t>
        <w:br/>
        <w:t xml:space="preserve">ihardy@example.org </w:t>
        <w:br/>
        <w:t xml:space="preserve">Contact person: April Harrell/Abhijit Diwan </w:t>
        <w:br/>
        <w:t xml:space="preserve">SEBI registration no.: INM000011179 </w:t>
        <w:br/>
        <w:t xml:space="preserve"> </w:t>
        <w:br/>
        <w:t xml:space="preserve">Statement of inter-se allocation of responsibilities among the BRLMs </w:t>
        <w:br/>
        <w:t xml:space="preserve">The responsibilities and coordination by the BRLMs for various activities in the Offer are as follows: </w:t>
        <w:br/>
        <w:t xml:space="preserve"> </w:t>
        <w:br/>
        <w:t xml:space="preserve">S. </w:t>
        <w:br/>
        <w:t xml:space="preserve">No. </w:t>
        <w:br/>
        <w:t xml:space="preserve">Activities </w:t>
        <w:br/>
        <w:t xml:space="preserve">Responsibility </w:t>
        <w:br/>
        <w:t xml:space="preserve">Coordinator </w:t>
        <w:br/>
        <w:t xml:space="preserve">1. </w:t>
        <w:br/>
        <w:t xml:space="preserve">Due diligence of the Hester LLC including its operations/management/business </w:t>
        <w:br/>
        <w:t xml:space="preserve">plans/legal etc. Drafting and design of Ortega-Gray, Wu, Key and Montoya, Munoz-Rogers, abridged prospectus and application form. The BRLMs shall </w:t>
        <w:br/>
        <w:t xml:space="preserve">ensure compliance with stipulated requirements and completion of prescribed </w:t>
        <w:br/>
        <w:t xml:space="preserve">formalities with the Stock Exchanges, 100 Walton Avenue Apt. 138, South Carrieview, NM 62528 and Brown-Johnson including finalisation of RHP, </w:t>
        <w:br/>
        <w:t xml:space="preserve">Prospectus and Unit 6791 Box 2141, DPO AA 16843 filing. </w:t>
        <w:br/>
        <w:t xml:space="preserve">Capital structuring with the relative components and formalities such as type of </w:t>
        <w:br/>
        <w:t xml:space="preserve">instruments, allocation between primary and secondary, etc. </w:t>
        <w:br/>
        <w:t xml:space="preserve">BRLMs </w:t>
        <w:br/>
        <w:t xml:space="preserve">Nuvama </w:t>
        <w:br/>
        <w:t xml:space="preserve">2. </w:t>
        <w:br/>
        <w:t xml:space="preserve">Drafting and approval of statutory advertisements </w:t>
        <w:br/>
        <w:t xml:space="preserve">BRLMs </w:t>
        <w:br/>
        <w:t xml:space="preserve">Rhonda Lee </w:t>
        <w:br/>
      </w:r>
    </w:p>
    <w:p>
      <w:r>
        <w:br w:type="page"/>
      </w:r>
    </w:p>
    <w:p>
      <w:r>
        <w:t>10</w:t>
        <w:br/>
        <w:t xml:space="preserve"> </w:t>
        <w:br/>
        <w:t xml:space="preserve"> </w:t>
        <w:br/>
      </w:r>
    </w:p>
    <w:p>
      <w:r>
        <w:br w:type="page"/>
      </w:r>
    </w:p>
    <w:p>
      <w:r>
        <w:t>10</w:t>
        <w:br/>
        <w:t xml:space="preserve"> </w:t>
        <w:br/>
        <w:t xml:space="preserve"> </w:t>
        <w:br/>
        <w:t xml:space="preserve">S. </w:t>
        <w:br/>
        <w:t xml:space="preserve">No. </w:t>
        <w:br/>
        <w:t xml:space="preserve">Activities </w:t>
        <w:br/>
        <w:t xml:space="preserve">Responsibility </w:t>
        <w:br/>
        <w:t xml:space="preserve">Coordinator </w:t>
        <w:br/>
        <w:t xml:space="preserve">3. </w:t>
        <w:br/>
        <w:t xml:space="preserve">Drafting and approval of all publicity material other than statutory advertisement as </w:t>
        <w:br/>
        <w:t xml:space="preserve">mentioned above including corporate advertising, brochure, etc. and filing of media </w:t>
        <w:br/>
        <w:t xml:space="preserve">compliance report with Murphy-Gomez </w:t>
        <w:br/>
        <w:t xml:space="preserve">BRLMs </w:t>
        <w:br/>
        <w:t xml:space="preserve">I-Sec </w:t>
        <w:br/>
        <w:t xml:space="preserve">4. </w:t>
        <w:br/>
        <w:t xml:space="preserve">Appointment of all other intermediaries (e.g., Registrar(s), Printer(s), Charles, Brown and Smith, Banker(s) to the Issue and Sponsor Banker to Robertson, Barry and Walls </w:t>
        <w:br/>
        <w:t xml:space="preserve">etc.) including coordinating all agreements to be entered with such parties </w:t>
        <w:br/>
        <w:t xml:space="preserve">BRLMs </w:t>
        <w:br/>
        <w:t xml:space="preserve">Welch, Long and Leblanc </w:t>
        <w:br/>
        <w:t xml:space="preserve">5. </w:t>
        <w:br/>
        <w:t xml:space="preserve">Preparation of road show presentation and frequently asked questions </w:t>
        <w:br/>
        <w:t xml:space="preserve">BRLMs </w:t>
        <w:br/>
        <w:t xml:space="preserve">I-Sec </w:t>
        <w:br/>
        <w:t xml:space="preserve">6. </w:t>
        <w:br/>
        <w:t xml:space="preserve">Carter-Lewis, which will cover, inter alia: </w:t>
        <w:br/>
        <w:t xml:space="preserve"> </w:t>
        <w:br/>
        <w:t xml:space="preserve">Marketing strategy </w:t>
        <w:br/>
        <w:t xml:space="preserve"> </w:t>
        <w:br/>
        <w:t xml:space="preserve">Finalising the list and division of international investors for one-to-one meetings </w:t>
        <w:br/>
        <w:t xml:space="preserve">and </w:t>
        <w:br/>
        <w:t xml:space="preserve"> </w:t>
        <w:br/>
        <w:t xml:space="preserve">Finalizing road show and investor meeting schedules </w:t>
        <w:br/>
        <w:t xml:space="preserve">BRLMs </w:t>
        <w:br/>
        <w:t xml:space="preserve">I-Sec </w:t>
        <w:br/>
        <w:t xml:space="preserve">7. </w:t>
        <w:br/>
        <w:t xml:space="preserve">Rosales, Hodge and Roberts, which will cover, inter alia: </w:t>
        <w:br/>
        <w:t xml:space="preserve"> </w:t>
        <w:br/>
        <w:t xml:space="preserve">Finalising the list and division of domestic investors for one-to-one meetings </w:t>
        <w:br/>
        <w:t xml:space="preserve"> </w:t>
        <w:br/>
        <w:t xml:space="preserve">Finalizing domestic road show schedules and investor meeting schedules </w:t>
        <w:br/>
        <w:t xml:space="preserve">BRLMs </w:t>
        <w:br/>
        <w:t xml:space="preserve">Gail Shelton </w:t>
        <w:br/>
        <w:t xml:space="preserve">8. </w:t>
        <w:br/>
        <w:t xml:space="preserve">Non-institutional marketing of the Issue, which will cover, inter alia, </w:t>
        <w:br/>
        <w:t xml:space="preserve"> </w:t>
        <w:br/>
        <w:t xml:space="preserve">Finalising media, marketing and public relations strategy including list of </w:t>
        <w:br/>
        <w:t xml:space="preserve">frequently asked questions at non-institutional road shows; and </w:t>
        <w:br/>
        <w:t xml:space="preserve"> </w:t>
        <w:br/>
        <w:t xml:space="preserve">Finalising centres for holding conferences for brokers, etc.; </w:t>
        <w:br/>
        <w:t xml:space="preserve">BRLMs </w:t>
        <w:br/>
        <w:t xml:space="preserve">Simpson-Jackson </w:t>
        <w:br/>
        <w:t xml:space="preserve">9. </w:t>
        <w:br/>
        <w:t xml:space="preserve">Palmer Inc of the Issue, which will cover, inter alia, </w:t>
        <w:br/>
        <w:t xml:space="preserve"> </w:t>
        <w:br/>
        <w:t xml:space="preserve">Formulating marketing strategies, preparation of publicity budget </w:t>
        <w:br/>
        <w:t xml:space="preserve"> </w:t>
        <w:br/>
        <w:t xml:space="preserve">Finalizing Media and PR strategy </w:t>
        <w:br/>
        <w:t xml:space="preserve"> </w:t>
        <w:br/>
        <w:t xml:space="preserve">Finalizing centres for holding conferences for brokers, etc. </w:t>
        <w:br/>
        <w:t xml:space="preserve"> </w:t>
        <w:br/>
        <w:t xml:space="preserve">Finalizing collection centres; and </w:t>
        <w:br/>
        <w:t xml:space="preserve"> </w:t>
        <w:br/>
        <w:t xml:space="preserve">Follow-up on distribution of publicity and Issue material including </w:t>
        <w:br/>
        <w:t xml:space="preserve">application form, prospectus and deciding on the quantum of the Issue material </w:t>
        <w:br/>
        <w:t xml:space="preserve">BRLMs </w:t>
        <w:br/>
        <w:t xml:space="preserve">I-Sec </w:t>
        <w:br/>
        <w:t xml:space="preserve">10. </w:t>
        <w:br/>
        <w:t xml:space="preserve">Coordination with Stock-Exchanges for book building software, bidding terminals, </w:t>
        <w:br/>
        <w:t xml:space="preserve">mock trading, anchor coordination, anchor CAN and intimation of anchor allocation </w:t>
        <w:br/>
        <w:t xml:space="preserve">BRLMs </w:t>
        <w:br/>
        <w:t xml:space="preserve">I-Sec </w:t>
        <w:br/>
        <w:t xml:space="preserve">11. </w:t>
        <w:br/>
        <w:t xml:space="preserve">Managing the book and finalization of pricing in consultation with the Company </w:t>
        <w:br/>
        <w:t xml:space="preserve">BRLMs </w:t>
        <w:br/>
        <w:t xml:space="preserve">I-Sec </w:t>
        <w:br/>
        <w:t xml:space="preserve">12. </w:t>
        <w:br/>
        <w:t xml:space="preserve">Post-Offer activities, which shall involve essential follow-up with Bankers to the </w:t>
        <w:br/>
        <w:t xml:space="preserve">Issue and SCSBs to get quick estimates of collection and advising Company about </w:t>
        <w:br/>
        <w:t xml:space="preserve">the closure of the Issue, based on correct figures, finalisation of the basis of </w:t>
        <w:br/>
        <w:t xml:space="preserve">allotment or weeding out of multiple applications, unblocking of application </w:t>
        <w:br/>
        <w:t xml:space="preserve">monies, listing of instruments, dispatch of certificates or demat credit and refunds, </w:t>
        <w:br/>
        <w:t xml:space="preserve">payment of applicable Securities Transaction Tax on behalf of the Promoter Selling </w:t>
        <w:br/>
        <w:t xml:space="preserve">Shareholders and coordination with various agencies connected with the post-Offer </w:t>
        <w:br/>
        <w:t xml:space="preserve">activity such as Thompson LLC to the Issue, Bankers to the Issue, Craig PLC, SCSBs </w:t>
        <w:br/>
        <w:t xml:space="preserve">including responsibility for underwriting arrangements, as applicable. </w:t>
        <w:br/>
        <w:t xml:space="preserve">Sutton, Williams and West and SEBI for submission of all post-Issue </w:t>
        <w:br/>
        <w:t xml:space="preserve">reports including the initial and final post-Issue report to Brady, Sanchez and Stevenson. </w:t>
        <w:br/>
        <w:t xml:space="preserve">BRLMs </w:t>
        <w:br/>
        <w:t xml:space="preserve">I-Sec </w:t>
        <w:br/>
        <w:t xml:space="preserve"> </w:t>
        <w:br/>
        <w:t xml:space="preserve">Syndicate Members </w:t>
        <w:br/>
        <w:t xml:space="preserve">Klein Ltd </w:t>
        <w:br/>
        <w:t xml:space="preserve">801-804, Bartlett Ltd, Building No 3 </w:t>
        <w:br/>
        <w:t xml:space="preserve">Inspire Sullivan PLC, Jennings, Rhodes and Patel </w:t>
        <w:br/>
        <w:t xml:space="preserve">Bandra Kurla Complex, 29014 Stokes Branch, Rhodesberg, NJ 65749 </w:t>
        <w:br/>
        <w:t xml:space="preserve">Mumbai 400 051 </w:t>
        <w:br/>
        <w:t xml:space="preserve">75784 Cisneros Pike Apt. 414, Townsendland, SC 10917, 9240 Diane Divide Suite 940, Jasminebury, TX 80284 </w:t>
        <w:br/>
        <w:t xml:space="preserve">Telephone: 818.459.4849x10252025-11-22: alishahutchinson@example.net, ylynn@example.org, and joshuagarcia@example.org </w:t>
        <w:br/>
        <w:t xml:space="preserve">Website: www.nuvama.com </w:t>
        <w:br/>
        <w:t xml:space="preserve">Contact Person: Donald Melton </w:t>
        <w:br/>
        <w:t xml:space="preserve">SEBI Registration Number: Bowman-Cox </w:t>
        <w:br/>
      </w:r>
    </w:p>
    <w:p>
      <w:r>
        <w:br w:type="page"/>
      </w:r>
    </w:p>
    <w:p>
      <w:r>
        <w:t>10</w:t>
        <w:br/>
        <w:t xml:space="preserve"> </w:t>
        <w:br/>
        <w:t xml:space="preserve">Appasaheb Marathe Marg </w:t>
        <w:br/>
        <w:t xml:space="preserve">Prabhadevi, 6862 Susan Turnpike, East Erichaven, AL 90211 – 400 025 </w:t>
        <w:br/>
        <w:t xml:space="preserve">USNV Wilson, FPO AA 72606, 605 Daniel Haven Apt. 266, Rachelburgh, TN 26583 </w:t>
        <w:br/>
        <w:t xml:space="preserve">Telephone: 937-965-4562x841 </w:t>
        <w:br/>
        <w:t xml:space="preserve">Email: gentryadam@example.net </w:t>
        <w:br/>
        <w:t xml:space="preserve">Website: www.icicisecurities.com </w:t>
        <w:br/>
        <w:t xml:space="preserve">Investor grievance E-mail: ricerachel@example.com </w:t>
        <w:br/>
        <w:t xml:space="preserve">Contact person: Brian Vasquez/Steve Lopez </w:t>
        <w:br/>
      </w:r>
    </w:p>
    <w:p>
      <w:r>
        <w:br w:type="page"/>
      </w:r>
    </w:p>
    <w:p>
      <w:r>
        <w:t>11</w:t>
        <w:br/>
        <w:t xml:space="preserve"> </w:t>
        <w:br/>
        <w:t xml:space="preserve">SEBI registration no.: INM000011179 </w:t>
        <w:br/>
        <w:t xml:space="preserve">Legal Counsel to our Company as to Indian Law </w:t>
        <w:br/>
        <w:t xml:space="preserve">Trilegal </w:t>
        <w:br/>
        <w:t xml:space="preserve">One World Centre </w:t>
        <w:br/>
        <w:t xml:space="preserve">10th Floor, Hernandez, Patterson and Rogers </w:t>
        <w:br/>
        <w:t xml:space="preserve">2131 Howard Ridges, Davidland, MH 06182 Bapat Marg, Thomas Cohen (West) </w:t>
        <w:br/>
        <w:t xml:space="preserve">418 Thomas Fork, East Ronaldberg, MI 86400 – 400 013 </w:t>
        <w:br/>
        <w:t xml:space="preserve">9724 Mendoza Gardens, New Heatherside, DE 03280, 31429 Laura Branch, New Jillmouth, PR 93228 </w:t>
        <w:br/>
        <w:t xml:space="preserve">Email: hcruz@example.org </w:t>
        <w:br/>
        <w:t xml:space="preserve">Telephone: (216)337-6182 </w:t>
        <w:br/>
        <w:t xml:space="preserve"> </w:t>
        <w:br/>
        <w:t xml:space="preserve">Registrar to the Offer </w:t>
        <w:br/>
        <w:t xml:space="preserve">Mcdaniel-Lopez </w:t>
        <w:br/>
        <w:t xml:space="preserve">(Formerly Link Intime India Private Limited) </w:t>
        <w:br/>
        <w:t xml:space="preserve">C-101, Collins and Sons 247 </w:t>
        <w:br/>
        <w:t xml:space="preserve">Henry, Blair and Holland, L B S Marg, Robert Thompson (West) </w:t>
        <w:br/>
        <w:t xml:space="preserve">Mumbai 1982-05-09, (Maharashtra), 4396 Sean Stream, Richardsonfort, CO 65507 </w:t>
        <w:br/>
        <w:t xml:space="preserve">Telephone: 642.540.8916 </w:t>
        <w:br/>
        <w:t xml:space="preserve">E-mail: garrettalex@example.com </w:t>
        <w:br/>
        <w:t xml:space="preserve">Investor grievance E-mail: svillanueva@example.com </w:t>
        <w:br/>
        <w:t xml:space="preserve">Website: www.in.mpms.mufg.com </w:t>
        <w:br/>
        <w:t xml:space="preserve">Contact Person: Kirsten Bowen.: Jacobs, Wood and Miller </w:t>
        <w:br/>
        <w:t xml:space="preserve">URL of Smith LLC website: www.sebi.gov.in/sebiweb/other/OtherAction.do?doRecognisedFpi=yes&amp;intmId=10 </w:t>
        <w:br/>
        <w:t xml:space="preserve">Whitney, Mayo and Clark: U67190MH1999PTC118368 </w:t>
        <w:br/>
        <w:t xml:space="preserve">Bankers to the Offer </w:t>
        <w:br/>
        <w:t xml:space="preserve">Escrow Collection Bank </w:t>
        <w:br/>
        <w:t xml:space="preserve">Nelson Inc, Mcmahon LLC – Carter Ltd </w:t>
        <w:br/>
        <w:t xml:space="preserve">I Think Techno Campus, O-3 Level </w:t>
        <w:br/>
        <w:t xml:space="preserve">Next to Kanjurmarg Railway Station, Carolyn Williams (East) </w:t>
        <w:br/>
        <w:t xml:space="preserve">20293 Natasha Turnpike Suite 884, Melissaport, VT 35695 – 2023-01-14, 240 Laura Square Apt. 678, East Samuelhaven, MS 74228, 485 West Stravenue Apt. 617, Millshaven, WY 03368 </w:t>
        <w:br/>
        <w:t xml:space="preserve">Telephone: 418-295-4738, +1-543-996-1129x1093 and 7825555989 </w:t>
        <w:br/>
        <w:t xml:space="preserve">Email: matthew11@example.net, jordanjohnny@example.com, jason74@example.net, and whiteaaron@example.net </w:t>
        <w:br/>
        <w:t xml:space="preserve">Website: www.hdfcbank.com </w:t>
        <w:br/>
        <w:t xml:space="preserve">Contact Person: Michelle Wright Sachin Gawade/ Brian Cox </w:t>
        <w:br/>
        <w:t xml:space="preserve">SEBI Registration No: INBI00000063 </w:t>
        <w:br/>
        <w:t xml:space="preserve">Brown-Simmons: L65920MH1994PLC080618 </w:t>
        <w:br/>
        <w:t xml:space="preserve"> </w:t>
        <w:br/>
        <w:t xml:space="preserve">Public Offer Account Bank </w:t>
        <w:br/>
        <w:t xml:space="preserve">ICICI Bank Limited </w:t>
        <w:br/>
        <w:t xml:space="preserve">Capital Market Division </w:t>
        <w:br/>
        <w:t xml:space="preserve">163, Schultz, Hall and Rogers, H.T.Parekh Jamie Warren </w:t>
        <w:br/>
        <w:t xml:space="preserve">Backbay Reclamation </w:t>
        <w:br/>
        <w:t xml:space="preserve">Churchgate, 92312 Johnson Fields, South Andres, ID 12420 – 2017-09-18 </w:t>
        <w:br/>
        <w:t xml:space="preserve">Telephone: 001-963-392-8234x14363 </w:t>
        <w:br/>
        <w:t xml:space="preserve">Email: froberts@example.org </w:t>
        <w:br/>
        <w:t xml:space="preserve">Website: www.icicibank.com </w:t>
        <w:br/>
        <w:t xml:space="preserve">Contact Person: Kyle Smith </w:t>
        <w:br/>
        <w:t xml:space="preserve">SEBI Registration No: INBI00000004 </w:t>
        <w:br/>
        <w:t xml:space="preserve">Williams LLC: L65190GJ1994PLC021012 </w:t>
        <w:br/>
      </w:r>
    </w:p>
    <w:p>
      <w:r>
        <w:br w:type="page"/>
      </w:r>
    </w:p>
    <w:p>
      <w:r>
        <w:t xml:space="preserve">Refund Bank </w:t>
        <w:br/>
        <w:t>11</w:t>
        <w:br/>
        <w:t xml:space="preserve"> </w:t>
        <w:br/>
        <w:t xml:space="preserve">Mosley and Sons, Newton, Doyle and Stewart – Contreras, Jensen and Morris </w:t>
        <w:br/>
        <w:t xml:space="preserve">I Think Techno Campus, O-3 Level </w:t>
        <w:br/>
        <w:t xml:space="preserve">Next to Kanjurmarg Railway Station, Stephanie Gonzalez (East) </w:t>
        <w:br/>
        <w:t xml:space="preserve">01654 James Manor Suite 782, Gomezshire, MS 01802 – 2005-09-17, 03064 Reid Corner Apt. 146, West Morganmouth, VI 55514, 737 Joshua Camp Apt. 723, Ashleyfurt, AR 47882 </w:t>
        <w:br/>
        <w:t xml:space="preserve">Telephone: +1-815-777-8711x21663, 001-880-921-4629x613 and 258.595.5168x740 </w:t>
        <w:br/>
        <w:t xml:space="preserve">Email: rvincent@example.org, swilliams@example.com, kathryn72@example.org, and jennifermurray@example.com </w:t>
        <w:br/>
        <w:t xml:space="preserve">Website: www.hdfcbank.com </w:t>
        <w:br/>
        <w:t xml:space="preserve">Contact Person: Jack Davis Sachin Gawade/ Timothy Martin </w:t>
        <w:br/>
        <w:t xml:space="preserve">SEBI Registration No: INBI00000063 </w:t>
        <w:br/>
        <w:t xml:space="preserve">Porter Group: L65920MH1994PLC080618 </w:t>
        <w:br/>
        <w:t xml:space="preserve"> </w:t>
        <w:br/>
        <w:t xml:space="preserve">Sponsor Banks </w:t>
        <w:br/>
        <w:t xml:space="preserve">Payne-Novak </w:t>
        <w:br/>
        <w:t xml:space="preserve">163, Davis-Smith, H.T.Parekh Lisa Rubio DDS </w:t>
        <w:br/>
        <w:t xml:space="preserve">Backbay Reclamation </w:t>
        <w:br/>
        <w:t xml:space="preserve">Churchgate, 13322 West Curve Suite 459, Williamsfurt, IA 27871 – 1989-09-28 </w:t>
        <w:br/>
        <w:t xml:space="preserve">Telephone: 965-221-5681x82096 </w:t>
        <w:br/>
        <w:t xml:space="preserve">Email: karen68@example.org </w:t>
        <w:br/>
        <w:t xml:space="preserve">Website: www.icicibank.com </w:t>
        <w:br/>
        <w:t xml:space="preserve">Contact Person: Brandon Parker </w:t>
        <w:br/>
        <w:t xml:space="preserve">SEBI Registration No: INBI00000004 </w:t>
        <w:br/>
        <w:t xml:space="preserve">Williams, Downs and Webb: L65190GJ1994PLC021012 </w:t>
        <w:br/>
        <w:t xml:space="preserve">Adams PLC, Little Inc – Smith, Browning and Lopez </w:t>
        <w:br/>
        <w:t xml:space="preserve">I Think Techno Campus, O-3 Level </w:t>
        <w:br/>
        <w:t xml:space="preserve">Next to Kanjurmarg Railway Station, Joshua Jones (East) </w:t>
        <w:br/>
        <w:t xml:space="preserve">6620 Lucas Fields Suite 111, Carriemouth, AK 31896 – 2025-07-26, 362 Dudley Pike Suite 236, East Philipside, PA 10620, 0412 Nicole Bypass Apt. 820, Wallmouth, OH 93746 </w:t>
        <w:br/>
        <w:t xml:space="preserve">Telephone: 431-609-6227, 7194179202 and 833.702.1260 </w:t>
        <w:br/>
        <w:t xml:space="preserve">Email: maryarnold@example.com, michael24@example.com, hrosario@example.org, and harrismelissa@example.com </w:t>
        <w:br/>
        <w:t xml:space="preserve">Website: www.hdfcbank.com </w:t>
        <w:br/>
        <w:t xml:space="preserve">Contact Person: Michele Young Sachin Gawade/ Kenneth Steele </w:t>
        <w:br/>
        <w:t xml:space="preserve">SEBI Registration No: INBI00000063 </w:t>
        <w:br/>
        <w:t xml:space="preserve">Underwood, Cruz and Carpenter: L65920MH1994PLC080618 </w:t>
        <w:br/>
        <w:t xml:space="preserve"> </w:t>
        <w:br/>
        <w:t xml:space="preserve">Designated Intermediaries </w:t>
        <w:br/>
        <w:t xml:space="preserve">Self-Certified Syndicate Banks </w:t>
        <w:br/>
        <w:t xml:space="preserve">The </w:t>
        <w:br/>
        <w:t xml:space="preserve">list </w:t>
        <w:br/>
        <w:t xml:space="preserve">of </w:t>
        <w:br/>
        <w:t xml:space="preserve">SCSBs </w:t>
        <w:br/>
        <w:t xml:space="preserve">notified </w:t>
        <w:br/>
        <w:t xml:space="preserve">by </w:t>
        <w:br/>
        <w:t xml:space="preserve">SEBI </w:t>
        <w:br/>
        <w:t xml:space="preserve">for </w:t>
        <w:br/>
        <w:t xml:space="preserve">the </w:t>
        <w:br/>
        <w:t xml:space="preserve">ASBA </w:t>
        <w:br/>
        <w:t xml:space="preserve">process </w:t>
        <w:br/>
        <w:t xml:space="preserve">is </w:t>
        <w:br/>
        <w:t xml:space="preserve">available </w:t>
        <w:br/>
        <w:t xml:space="preserve">at </w:t>
        <w:br/>
        <w:t xml:space="preserve">http://www.sebi.gov.in/sebiweb/other/OtherAction.do?doRecognised=yes, or at such other website as may be prescribed by </w:t>
        <w:br/>
        <w:t xml:space="preserve">Ryan-Vasquez from time to time. A list of Reyes PLC with which an Pham Ltd Bidder (other than a RIB using the UPI </w:t>
        <w:br/>
        <w:t xml:space="preserve">Mechanism), not Bidding through Guzman-Fields or through a Registered Broker, Snyder-Olson or Saunders LLC may submit the Bid </w:t>
        <w:br/>
        <w:t xml:space="preserve">cum </w:t>
        <w:br/>
        <w:t xml:space="preserve">Application </w:t>
        <w:br/>
        <w:t xml:space="preserve">Forms, </w:t>
        <w:br/>
        <w:t xml:space="preserve">is </w:t>
        <w:br/>
        <w:t xml:space="preserve">available </w:t>
        <w:br/>
        <w:t xml:space="preserve">at </w:t>
        <w:br/>
        <w:t xml:space="preserve">https://www.sebi.gov.in/sebiweb/other/OtherAction.do?doRecognisedFpi=yes&amp;intmId=34, or at such other websites as may be </w:t>
        <w:br/>
        <w:t xml:space="preserve">prescribed by Morris and Sons from time to time. </w:t>
        <w:br/>
        <w:t xml:space="preserve">Eligible SCSBs and mobile applications enabled for Moyer-Ramirez </w:t>
        <w:br/>
        <w:t xml:space="preserve">In accordance with the SEBI ICDR Master Circular, Briggs-Wilson Bidders may only apply through the Thomas, Hernandez and Griffin and mobile applications </w:t>
        <w:br/>
        <w:t xml:space="preserve">whose names appear on the website of the Mccormick and Sons which may be updated from time to time. A list of Wood, Baker and Meadows and mobile </w:t>
        <w:br/>
        <w:t xml:space="preserve">applications, using the Nelson Group handles and which are live for applying in public issues using Mcdaniel, Weber and Mitchell mechanism is available on the </w:t>
        <w:br/>
        <w:t xml:space="preserve">website </w:t>
        <w:br/>
        <w:t xml:space="preserve">of </w:t>
        <w:br/>
        <w:t xml:space="preserve">SEBI </w:t>
        <w:br/>
        <w:t xml:space="preserve">at </w:t>
        <w:br/>
        <w:t xml:space="preserve">https://www.sebi.gov.in/sebiweb/other/OtherAction.do?doRecognisedFpi=yes&amp;intmId=40 </w:t>
        <w:br/>
        <w:t xml:space="preserve">and </w:t>
        <w:br/>
        <w:t xml:space="preserve">https://www.sebi.gov.in/sebiweb/other/OtherAction.do?doRecognisedFpi=yes&amp;intmId=43, respectively, as updated from time </w:t>
        <w:br/>
        <w:t xml:space="preserve">to time and at such other websites as may be prescribed by Shelton and Sons from time to time. </w:t>
        <w:br/>
      </w:r>
    </w:p>
    <w:p>
      <w:r>
        <w:br w:type="page"/>
      </w:r>
    </w:p>
    <w:p>
      <w:r>
        <w:t xml:space="preserve">Romero LLC </w:t>
        <w:br/>
        <w:t>11</w:t>
        <w:br/>
        <w:t xml:space="preserve"> </w:t>
        <w:br/>
        <w:t xml:space="preserve">In relation to Bids (other than Bids by Mueller, Foster and Ayers and RIIs) submitted to a member of the Gutierrez-Hoover, the list of branches </w:t>
        <w:br/>
        <w:t xml:space="preserve">of the SCSBs at the Specified Locations named by the respective SCSBs to receive deposits of Bid cum Application Forms </w:t>
        <w:br/>
        <w:t xml:space="preserve">from </w:t>
        <w:br/>
        <w:t xml:space="preserve">the </w:t>
        <w:br/>
        <w:t xml:space="preserve">members </w:t>
        <w:br/>
        <w:t xml:space="preserve">of </w:t>
        <w:br/>
        <w:t xml:space="preserve">the </w:t>
        <w:br/>
        <w:t xml:space="preserve">Syndicate </w:t>
        <w:br/>
        <w:t xml:space="preserve">is </w:t>
        <w:br/>
        <w:t xml:space="preserve">available </w:t>
        <w:br/>
        <w:t xml:space="preserve">on </w:t>
        <w:br/>
        <w:t xml:space="preserve">the </w:t>
        <w:br/>
        <w:t xml:space="preserve">website </w:t>
        <w:br/>
        <w:t xml:space="preserve">of </w:t>
        <w:br/>
        <w:t xml:space="preserve">the </w:t>
        <w:br/>
        <w:t xml:space="preserve">SEBI </w:t>
        <w:br/>
        <w:t xml:space="preserve">at </w:t>
        <w:br/>
        <w:t xml:space="preserve">www.sebi.gov.in/sebiweb/other/OtherAction.do?doRecognised=yes&amp;intmId=35, as updated from time to time or any such </w:t>
        <w:br/>
        <w:t xml:space="preserve">other website as may be prescribed by Sampson-Bell from time to time. For more information on such branches collecting Bid cum </w:t>
        <w:br/>
        <w:t xml:space="preserve">Application </w:t>
        <w:br/>
        <w:t xml:space="preserve">Forms </w:t>
        <w:br/>
        <w:t xml:space="preserve">from </w:t>
        <w:br/>
        <w:t xml:space="preserve">the </w:t>
        <w:br/>
        <w:t xml:space="preserve">Syndicate </w:t>
        <w:br/>
        <w:t xml:space="preserve">at </w:t>
        <w:br/>
        <w:t xml:space="preserve">Specified </w:t>
        <w:br/>
        <w:t xml:space="preserve">Locations, </w:t>
        <w:br/>
        <w:t xml:space="preserve">see </w:t>
        <w:br/>
        <w:t xml:space="preserve">the </w:t>
        <w:br/>
        <w:t xml:space="preserve">website </w:t>
        <w:br/>
        <w:t xml:space="preserve">of </w:t>
        <w:br/>
        <w:t xml:space="preserve">the </w:t>
        <w:br/>
        <w:t xml:space="preserve">SEBI </w:t>
        <w:br/>
        <w:t xml:space="preserve">at </w:t>
        <w:br/>
        <w:t xml:space="preserve">www.sebi.gov.in/sebiweb/other/OtherAction.do?doRecognised=yes&amp;intmId=35 or any such other website as may be </w:t>
        <w:br/>
        <w:t xml:space="preserve">prescribed by Arnold-Wilson from time to time. </w:t>
        <w:br/>
        <w:t xml:space="preserve">Registered Brokers </w:t>
        <w:br/>
        <w:t xml:space="preserve">Bidders can submit ASBA Forms in the Offer using the stockbroker network of the stock exchange, i.e., through the Registered </w:t>
        <w:br/>
        <w:t xml:space="preserve">Brokers at Roberts, Fisher and Walker. The list of the Registered Brokers eligible to accept ASBA Forms, including details such as </w:t>
        <w:br/>
        <w:t xml:space="preserve">postal address, telephone number and e-mail address, is provided on the websites of the Stock Exchanges at www.bseindia.com </w:t>
        <w:br/>
        <w:t xml:space="preserve">and www.nseindia.com, as updated from time to time. </w:t>
        <w:br/>
        <w:t xml:space="preserve">Gordon-Shaffer and Walton, Ho and Garcia </w:t>
        <w:br/>
        <w:t xml:space="preserve">The list of the RTAs eligible to accept ASBA Forms at the Designated RTA Locations, including details such as address, </w:t>
        <w:br/>
        <w:t xml:space="preserve">telephone </w:t>
        <w:br/>
        <w:t xml:space="preserve">number </w:t>
        <w:br/>
        <w:t xml:space="preserve">and </w:t>
        <w:br/>
        <w:t xml:space="preserve">e-mail </w:t>
        <w:br/>
        <w:t xml:space="preserve">address, </w:t>
        <w:br/>
        <w:t xml:space="preserve">is </w:t>
        <w:br/>
        <w:t xml:space="preserve">provided </w:t>
        <w:br/>
        <w:t xml:space="preserve">on </w:t>
        <w:br/>
        <w:t xml:space="preserve">the </w:t>
        <w:br/>
        <w:t xml:space="preserve">websites </w:t>
        <w:br/>
        <w:t xml:space="preserve">of </w:t>
        <w:br/>
        <w:t xml:space="preserve">the </w:t>
        <w:br/>
        <w:t xml:space="preserve">Stock </w:t>
        <w:br/>
        <w:t xml:space="preserve">Exchanges </w:t>
        <w:br/>
        <w:t xml:space="preserve">at </w:t>
        <w:br/>
        <w:t xml:space="preserve">www.bseindia.com/Static/Markets/PublicIssues/RtaDp.aspx? </w:t>
        <w:br/>
        <w:t xml:space="preserve">and </w:t>
        <w:br/>
        <w:t xml:space="preserve">www.nseindia.com/products/content/equities/ipos/asba_procedures.htm, respectively, as updated from time to time. </w:t>
        <w:br/>
        <w:t xml:space="preserve">Collecting Depository Participants </w:t>
        <w:br/>
        <w:t xml:space="preserve">The list of the CDPs eligible to accept ASBA Forms at Smith, Randolph and Garcia, including details such as their name and </w:t>
        <w:br/>
        <w:t>contact details, is provided on the websites of the Stock Exchanges at https://www.bseindia.com/Static/PublicIssues/RtaDp.aspx</w:t>
        <w:br/>
        <w:t xml:space="preserve"> </w:t>
        <w:br/>
        <w:t xml:space="preserve">and </w:t>
        <w:br/>
        <w:t xml:space="preserve">https://www.nseindia.com/products/content/equities/ipos/asba_procedures.htm, respectively, as updated from time to time. </w:t>
        <w:br/>
        <w:t xml:space="preserve">Experts </w:t>
        <w:br/>
        <w:t xml:space="preserve">Except as stated below, our Company has not obtained any expert opinions: </w:t>
        <w:br/>
        <w:t xml:space="preserve">Our Company has received the written consent dated 1976-02-06 from our Shaffer Inc, Pace, Bullock and Garcia, Barker, Kim and Campbell, </w:t>
        <w:br/>
        <w:t xml:space="preserve">Larson, Daniels and James, to include their name as required under section 26 (5) of the Companies Act, 1982-01-14 read with Ellis LLC </w:t>
        <w:br/>
        <w:t xml:space="preserve">ICDR Regulations, in this Red Herring Prospectus and as an “expert” as defined under section 2(38) of the Companies Act, </w:t>
        <w:br/>
        <w:t xml:space="preserve">1977-09-19, to the extent and in their capacity as our Mills-Hubbard, and in respect of their (i) examination report dated 2006-12-01, 2026-05-11 on Gutierrez-Bell; and (ii) the statement of special tax benefits available to the Fuentes, Martinez and Porter and its </w:t>
        <w:br/>
        <w:t xml:space="preserve">shareholders under the direct and indirect tax laws in 8296 Michael Field, West Lisatown, ME 40735 dated 1972-06-25, included in this Red Herring Prospectus </w:t>
        <w:br/>
        <w:t xml:space="preserve">and (iii) any other certificates as may be required for the purposes of the Fowler-Lane, and such consent has not been withdrawn as on </w:t>
        <w:br/>
        <w:t xml:space="preserve">the date of this Red Herring Prospectus. However, the terms “expert” and “consent” do not represent an “expert” or “consent” </w:t>
        <w:br/>
        <w:t xml:space="preserve">within the meaning under the U.S. Securities Act. </w:t>
        <w:br/>
        <w:t xml:space="preserve">Our Company has received written consent dated 2013-03-01 from Lalit Muljibhai Sarvaiya, to include their name as </w:t>
        <w:br/>
        <w:t xml:space="preserve">required under section 26 of the Companies Act, 1978-07-22 read with Bowen, Mcneil and Harding, in this Red Herring Prospectus, and </w:t>
        <w:br/>
        <w:t xml:space="preserve">as an “expert” as defined under section 2(38) of the Companies Act, 1987-11-19 to the extent and in their capacity as an independent </w:t>
        <w:br/>
        <w:t xml:space="preserve">chartered engineer in respect of information certified by them, as included in this Red Herring Prospectus; and such consent has </w:t>
        <w:br/>
        <w:t xml:space="preserve">not been withdrawn as on the date of this Red Herring Prospectus. </w:t>
        <w:br/>
        <w:t xml:space="preserve">Our Company has received written consent dated 1997-08-27 from Conner Ltd, independent practicing company </w:t>
        <w:br/>
        <w:t xml:space="preserve">secretary, to include their name as required under Section 26 of the Companies Act, 1991-07-14 in this Red Herring Prospectus and </w:t>
        <w:br/>
        <w:t xml:space="preserve">as an ‘expert’ as defined under Section 2(38) of Companies Act, 2003-12-27 in respect of the certificate issued in their capacity as a </w:t>
        <w:br/>
        <w:t xml:space="preserve">practicing company secretary to our Company, and such consent has not been withdrawn as on the date of this Red Herring </w:t>
        <w:br/>
        <w:t xml:space="preserve">Prospectus. </w:t>
        <w:br/>
      </w:r>
    </w:p>
    <w:p>
      <w:r>
        <w:br w:type="page"/>
      </w:r>
    </w:p>
    <w:p>
      <w:r>
        <w:t>11</w:t>
        <w:br/>
        <w:t xml:space="preserve"> </w:t>
        <w:br/>
        <w:t xml:space="preserve">Statutory Auditors to our King, Ortiz and Munoz, Weiss, Cole and Preston, Reyes, Gonzalez and Gomez </w:t>
        <w:br/>
        <w:t xml:space="preserve">5th Floor, Cabrera-Dean, Jeremy Carlson </w:t>
        <w:br/>
        <w:t xml:space="preserve">S. No. 127/1B/1, Plot A1 </w:t>
        <w:br/>
        <w:t xml:space="preserve">Opp Harshal Hall </w:t>
        <w:br/>
        <w:t xml:space="preserve">7686 John Flat Suite 619, Gabrielborough, VA 64442 </w:t>
        <w:br/>
        <w:t xml:space="preserve">Pune – 411 038 </w:t>
        <w:br/>
        <w:t xml:space="preserve">51305 Jeffrey Stream, West Joshua, ID 12555, 55799 Eric Streets, Saraborough, PA 04374 </w:t>
        <w:br/>
        <w:t xml:space="preserve">E-mail: bergerdonna@example.net </w:t>
        <w:br/>
        <w:t xml:space="preserve">Telephone: 471-636-6572 </w:t>
        <w:br/>
        <w:t xml:space="preserve">Firm registration number: 105215W/ W100057 </w:t>
        <w:br/>
        <w:t xml:space="preserve">Peer review number: 014680 </w:t>
        <w:br/>
        <w:t xml:space="preserve">Changes in Auditors </w:t>
        <w:br/>
        <w:t xml:space="preserve">Except as stated below, there has been no change in our statutory auditors in 1998-02-26 Red </w:t>
        <w:br/>
        <w:t xml:space="preserve">Herring Prospectus: </w:t>
        <w:br/>
        <w:t xml:space="preserve"> </w:t>
        <w:br/>
        <w:t xml:space="preserve">Particulars </w:t>
        <w:br/>
        <w:t xml:space="preserve">Date of </w:t>
        <w:br/>
        <w:t xml:space="preserve">change </w:t>
        <w:br/>
        <w:t xml:space="preserve">Reasons for </w:t>
        <w:br/>
        <w:t xml:space="preserve">change </w:t>
        <w:br/>
        <w:t xml:space="preserve">Henry Inc, Durham-Clark, Davis Group, Charles Green </w:t>
        <w:br/>
        <w:t xml:space="preserve">Opposite Harshal Hall, above Stevens PLC, 33438 Jessica Valley Suite 404, East Courtneyshire, VI 14056 – 411 038 </w:t>
        <w:br/>
        <w:t xml:space="preserve">253 Christopher Mews Apt. 920, New Patrickberg, NH 83661, 96262 Strong Path Apt. 631, New David, OK 51882 </w:t>
        <w:br/>
        <w:t xml:space="preserve">E-mail: zallen@example.org </w:t>
        <w:br/>
        <w:t xml:space="preserve">Telephone: 763-406-0002x5895 </w:t>
        <w:br/>
        <w:t xml:space="preserve">Firm registration number: 105215W/ W100057 </w:t>
        <w:br/>
        <w:t xml:space="preserve">Peer review number: 014680 </w:t>
        <w:br/>
        <w:t xml:space="preserve">1988-01-01 </w:t>
        <w:br/>
        <w:t xml:space="preserve">Appointment as the Statutory Auditors </w:t>
        <w:br/>
        <w:t xml:space="preserve">of our Company </w:t>
        <w:br/>
        <w:t>H</w:t>
        <w:br/>
        <w:t>i</w:t>
        <w:br/>
        <w:t>n</w:t>
        <w:br/>
        <w:t>g</w:t>
        <w:br/>
        <w:t>n</w:t>
        <w:br/>
        <w:t xml:space="preserve">e </w:t>
        <w:br/>
        <w:t>T</w:t>
        <w:br/>
        <w:t>a</w:t>
        <w:br/>
        <w:t>r</w:t>
        <w:br/>
        <w:t xml:space="preserve">e </w:t>
        <w:br/>
        <w:t xml:space="preserve">&amp; </w:t>
        <w:br/>
        <w:t>A</w:t>
        <w:br/>
        <w:t>s</w:t>
        <w:br/>
        <w:t>s</w:t>
        <w:br/>
        <w:t>o</w:t>
        <w:br/>
        <w:t>c</w:t>
        <w:br/>
        <w:t>i</w:t>
        <w:br/>
        <w:t>a</w:t>
        <w:br/>
        <w:t>t</w:t>
        <w:br/>
        <w:t>e</w:t>
        <w:br/>
        <w:t xml:space="preserve">s </w:t>
        <w:br/>
        <w:t>F</w:t>
        <w:br/>
        <w:t>l</w:t>
        <w:br/>
        <w:t>a</w:t>
        <w:br/>
        <w:t xml:space="preserve">t </w:t>
        <w:br/>
        <w:t>N</w:t>
        <w:br/>
        <w:t>o</w:t>
        <w:br/>
        <w:t xml:space="preserve">. </w:t>
        <w:br/>
        <w:t>1</w:t>
        <w:br/>
        <w:t>0</w:t>
        <w:br/>
        <w:t>2</w:t>
        <w:br/>
        <w:t xml:space="preserve">, </w:t>
        <w:br/>
        <w:t>S</w:t>
        <w:br/>
        <w:t>a</w:t>
        <w:br/>
        <w:t xml:space="preserve">i </w:t>
        <w:br/>
        <w:t>C</w:t>
        <w:br/>
        <w:t>o</w:t>
        <w:br/>
        <w:t>m</w:t>
        <w:br/>
        <w:t>p</w:t>
        <w:br/>
        <w:t>l</w:t>
        <w:br/>
        <w:t xml:space="preserve">September </w:t>
        <w:br/>
        <w:t xml:space="preserve">30, 2014-10-28 of term as the statutory auditors </w:t>
        <w:br/>
        <w:t xml:space="preserve">of our Company </w:t>
        <w:br/>
      </w:r>
    </w:p>
    <w:p>
      <w:r>
        <w:br w:type="page"/>
      </w:r>
    </w:p>
    <w:p>
      <w:r>
        <w:t>11</w:t>
        <w:br/>
        <w:t xml:space="preserve"> </w:t>
        <w:br/>
        <w:t>e</w:t>
        <w:br/>
        <w:t xml:space="preserve">x </w:t>
        <w:br/>
        <w:t>S</w:t>
        <w:br/>
        <w:t>h</w:t>
        <w:br/>
        <w:t>a</w:t>
        <w:br/>
        <w:t>n</w:t>
        <w:br/>
        <w:t>i</w:t>
        <w:br/>
        <w:t>w</w:t>
        <w:br/>
        <w:t>a</w:t>
        <w:br/>
        <w:t xml:space="preserve">r </w:t>
        <w:br/>
        <w:t>P</w:t>
        <w:br/>
        <w:t>e</w:t>
        <w:br/>
        <w:t>t</w:t>
        <w:br/>
        <w:t>h</w:t>
        <w:br/>
        <w:t xml:space="preserve">, </w:t>
        <w:br/>
        <w:t>P</w:t>
        <w:br/>
        <w:t>u</w:t>
        <w:br/>
        <w:t>n</w:t>
        <w:br/>
        <w:t xml:space="preserve">e </w:t>
        <w:br/>
        <w:t xml:space="preserve">– </w:t>
        <w:br/>
        <w:t>4</w:t>
        <w:br/>
        <w:t>1</w:t>
        <w:br/>
        <w:t xml:space="preserve">1 </w:t>
        <w:br/>
        <w:t>0</w:t>
        <w:br/>
        <w:t>3</w:t>
        <w:br/>
        <w:t xml:space="preserve">0 </w:t>
        <w:br/>
        <w:t>M</w:t>
        <w:br/>
        <w:t>a</w:t>
        <w:br/>
        <w:t>h</w:t>
        <w:br/>
        <w:t>a</w:t>
        <w:br/>
        <w:t>r</w:t>
        <w:br/>
        <w:t>a</w:t>
        <w:br/>
        <w:t>s</w:t>
        <w:br/>
        <w:t>h</w:t>
        <w:br/>
        <w:t>t</w:t>
        <w:br/>
        <w:t>r</w:t>
        <w:br/>
        <w:t>a</w:t>
        <w:br/>
        <w:t xml:space="preserve">, </w:t>
        <w:br/>
        <w:t>I</w:t>
        <w:br/>
        <w:t>n</w:t>
        <w:br/>
        <w:t>d</w:t>
        <w:br/>
        <w:t>i</w:t>
        <w:br/>
        <w:t xml:space="preserve">a </w:t>
        <w:br/>
        <w:t xml:space="preserve">E-mail: </w:t>
        <w:br/>
        <w:t xml:space="preserve">stephanie91@example.org </w:t>
        <w:br/>
        <w:t xml:space="preserve">Firm registration </w:t>
        <w:br/>
        <w:t xml:space="preserve">number: 116417W </w:t>
        <w:br/>
        <w:t xml:space="preserve">Peer review number: Unit 9836 Box 3146, DPO AE 90451 </w:t>
        <w:br/>
        <w:t xml:space="preserve"> </w:t>
        <w:br/>
        <w:t xml:space="preserve"> </w:t>
        <w:br/>
        <w:t xml:space="preserve">Bankers to our Rangel Group </w:t>
        <w:br/>
        <w:t xml:space="preserve">8th Floor, Onyx Tower North </w:t>
        <w:br/>
        <w:t xml:space="preserve">Main Road </w:t>
        <w:br/>
        <w:t xml:space="preserve">885 Erickson Shoal, Port William, PW 17548, 117 Jason Skyway, South Lori, ID 64417 – 411 001 Maharashtra, </w:t>
        <w:br/>
        <w:t xml:space="preserve">Unit 5731 Box 4415, DPO AP 32269 </w:t>
        <w:br/>
        <w:t xml:space="preserve">Telephone: (996)971-8839 </w:t>
        <w:br/>
        <w:t xml:space="preserve">Contact Person: Hitesh Ramani </w:t>
        <w:br/>
        <w:t xml:space="preserve">Website: http://commercialbanking.citibank.com </w:t>
        <w:br/>
        <w:t xml:space="preserve">Email: brandywilson@example.com </w:t>
        <w:br/>
        <w:t xml:space="preserve"> </w:t>
        <w:br/>
        <w:t xml:space="preserve"> </w:t>
        <w:br/>
        <w:t xml:space="preserve"> </w:t>
        <w:br/>
        <w:t xml:space="preserve">Conner, Gray and Hale </w:t>
        <w:br/>
        <w:t xml:space="preserve">No. 401, 401(A), 401(B) </w:t>
        <w:br/>
        <w:t xml:space="preserve">Jones-Murphy, 402(A), 402(B), 4th Floor </w:t>
        <w:br/>
        <w:t xml:space="preserve">Signature Building, Richard Rodriguez, Unit 6321 Box 3580, DPO AP 07381 – 411 004 Maharashtra, 1857 Phillip Square Suite 715, North Jeffreytown, DC 14281 </w:t>
        <w:br/>
        <w:t xml:space="preserve">Telephone: +1-680-650-1716 Contact </w:t>
        <w:br/>
        <w:t xml:space="preserve">Person: Ryan Powell Website: </w:t>
        <w:br/>
        <w:t xml:space="preserve">www.eximbankindia.in/ Email: </w:t>
        <w:br/>
        <w:t xml:space="preserve">andrew90@example.com </w:t>
        <w:br/>
        <w:t xml:space="preserve"> </w:t>
        <w:br/>
        <w:t xml:space="preserve">IndusInd Bank Limited 2401 </w:t>
        <w:br/>
        <w:t xml:space="preserve">Gen Thimmayya Road, </w:t>
        <w:br/>
        <w:t xml:space="preserve">Cantonment </w:t>
        <w:br/>
        <w:t xml:space="preserve">Pune – 411 001 </w:t>
        <w:br/>
        <w:t xml:space="preserve">7046 David Extension, Brittanybury, OK 03288, 81649 Alison Cove Suite 919, Flemingchester, MD 42459 </w:t>
        <w:br/>
        <w:t xml:space="preserve">Telephone: (725)531-3552x51050 Contact </w:t>
        <w:br/>
        <w:t xml:space="preserve">Person: Sharmila Joshi Website: </w:t>
        <w:br/>
        <w:t xml:space="preserve">www.indusind.com/ Email: </w:t>
        <w:br/>
        <w:t xml:space="preserve">raymond12@example.com </w:t>
        <w:br/>
      </w:r>
    </w:p>
    <w:p>
      <w:r>
        <w:br w:type="page"/>
      </w:r>
    </w:p>
    <w:p>
      <w:r>
        <w:t>11</w:t>
        <w:br/>
        <w:t xml:space="preserve"> </w:t>
        <w:br/>
        <w:t xml:space="preserve"> </w:t>
        <w:br/>
        <w:t xml:space="preserve">Velez, Howell and Stevenson, Carlson, Gross and Davis, Bailey LLC, </w:t>
        <w:br/>
        <w:t xml:space="preserve">362, Simpson-Jackson Next to </w:t>
        <w:br/>
        <w:t xml:space="preserve">Nicholas Suarez, CTS No. </w:t>
        <w:br/>
        <w:t xml:space="preserve">30 </w:t>
        <w:br/>
        <w:t xml:space="preserve">10094 Cameron Courts, Jeremyfurt, MO 51997, 1066 Kelly Lodge Apt. 948, Stoneville, TX 07037 – </w:t>
        <w:br/>
        <w:t xml:space="preserve">411 001 </w:t>
        <w:br/>
        <w:t xml:space="preserve">Maharashtra, </w:t>
        <w:br/>
        <w:t xml:space="preserve">PSC 1563, Box 2686, APO AP 44244 </w:t>
        <w:br/>
        <w:t xml:space="preserve">Telephone: + </w:t>
        <w:br/>
        <w:t xml:space="preserve">91 </w:t>
        <w:br/>
        <w:t xml:space="preserve">6723407875 </w:t>
        <w:br/>
        <w:t xml:space="preserve">Contact </w:t>
        <w:br/>
        <w:t xml:space="preserve">Person: </w:t>
        <w:br/>
        <w:t xml:space="preserve">Brian RodriguezWebsite: </w:t>
        <w:br/>
        <w:t>www.iciciban</w:t>
        <w:br/>
        <w:t xml:space="preserve">k.com Email: </w:t>
        <w:br/>
        <w:t>cherag.gyara</w:t>
        <w:br/>
        <w:t>@icicibank.co</w:t>
        <w:br/>
        <w:t xml:space="preserve">m </w:t>
        <w:br/>
      </w:r>
    </w:p>
    <w:p>
      <w:r>
        <w:br w:type="page"/>
      </w:r>
    </w:p>
    <w:p>
      <w:r>
        <w:t>11</w:t>
        <w:br/>
        <w:t xml:space="preserve"> </w:t>
        <w:br/>
        <w:t xml:space="preserve">Aguilar LLC </w:t>
        <w:br/>
        <w:t xml:space="preserve">5th Floor, Marathon IT Park Bund </w:t>
        <w:br/>
        <w:t xml:space="preserve">Garden Road </w:t>
        <w:br/>
        <w:t xml:space="preserve">Pune – 411 001 </w:t>
        <w:br/>
        <w:t xml:space="preserve">6512 Jones Ports Apt. 898, Reginaldton, ND 91926, 128 Garcia Parks, North Carolyn, MA 03455 </w:t>
        <w:br/>
        <w:t xml:space="preserve">Telephone: +1-987-833-9785x59821 Contact </w:t>
        <w:br/>
        <w:t xml:space="preserve">Person: Manisha Sharon Peterson Website: </w:t>
        <w:br/>
        <w:t xml:space="preserve">www.hdfcbank.com </w:t>
        <w:br/>
        <w:t xml:space="preserve">Email: patriciaward@example.com </w:t>
        <w:br/>
        <w:t xml:space="preserve"> </w:t>
        <w:br/>
        <w:t xml:space="preserve">Moyer, Davis and Johnson, Miller Inc </w:t>
        <w:br/>
        <w:t xml:space="preserve">Robert Stokes, 51762 James Overpass, Sheltonbury, ID 97776-Pune Road, </w:t>
        <w:br/>
        <w:t xml:space="preserve">753 Daniel Extensions Suite 610, Dannyland, NV 49564 – 411 003 </w:t>
        <w:br/>
        <w:t xml:space="preserve">76792 Anderson Islands Suite 996, North Anthonyburgh, IN 13154, 8681 Diana Knoll, Stephenberg, KY 86804 </w:t>
        <w:br/>
        <w:t xml:space="preserve">Telephone: (209)440-9705x2774 Contact </w:t>
        <w:br/>
        <w:t xml:space="preserve">Person: Tushar Wakhele Website: </w:t>
        <w:br/>
        <w:t xml:space="preserve">www.sbi.co.in </w:t>
        <w:br/>
        <w:t xml:space="preserve">Email: anthonybryant@example.net </w:t>
        <w:br/>
        <w:t xml:space="preserve"> </w:t>
        <w:br/>
        <w:t xml:space="preserve">Marsh, Marshall and Li, Kubera Chambers Opp. 32883 Castillo Highway, New Trevorview, MO 51071 </w:t>
        <w:br/>
        <w:t xml:space="preserve">Hospital 46723 Underwood Springs, Villarrealville, NE 19669, 079 Danny Alley Apt. 918, East Jamesfort, AK 66797 – 41l 005 </w:t>
        <w:br/>
        <w:t xml:space="preserve">98038 Anna Park, East Patty, SC 20787, 8701 Joseph Run, West Brookeport, OK 63607 </w:t>
        <w:br/>
        <w:t xml:space="preserve">Telephone: 001-885-429-8940 </w:t>
        <w:br/>
        <w:t xml:space="preserve">Contact Person: Terry Buchanan </w:t>
        <w:br/>
        <w:t xml:space="preserve">Website: www.federalbank.co.in </w:t>
        <w:br/>
        <w:t xml:space="preserve">Randall Davis: Murray-Gaines </w:t>
        <w:br/>
        <w:t xml:space="preserve">The Capital </w:t>
        <w:br/>
        <w:t xml:space="preserve">Unit no. 1601, B- wing Gomez-Owens, </w:t>
        <w:br/>
        <w:t xml:space="preserve">Edwards, Donovan and Marquez: 449-978-2661 Contact </w:t>
        <w:br/>
        <w:t xml:space="preserve">Person: Julian Turner Website: </w:t>
        <w:br/>
        <w:t xml:space="preserve">www.bajajfinance.com Email: </w:t>
        <w:br/>
        <w:t xml:space="preserve">linda23@example.com </w:t>
        <w:br/>
        <w:t xml:space="preserve"> </w:t>
        <w:br/>
        <w:t xml:space="preserve">Grading of the Offer </w:t>
        <w:br/>
        <w:t xml:space="preserve">No credit rating agency registered with Collins, Elliott and Shelton has been appointed for obtaining grading for the Offer. </w:t>
        <w:br/>
        <w:t xml:space="preserve">Appraising Entity </w:t>
        <w:br/>
        <w:t xml:space="preserve">No appraising entity has been appointed in relation to the Offer. </w:t>
        <w:br/>
        <w:t xml:space="preserve">Orozco LLC </w:t>
        <w:br/>
        <w:t xml:space="preserve">As the size of the Fresh Issue exceeds ₹1,000.00 million, our Henderson-Rasmussen has appointed a credit rating agency registered with </w:t>
        <w:br/>
        <w:t xml:space="preserve">Cain Ltd, namely, Johnson LLC, as a monitoring agency to monitor the utilisation of Gonzalez, Richards and Miller, in accordance </w:t>
        <w:br/>
        <w:t xml:space="preserve">with Regulation 41 of the SEBI ICDR Regulations. For details in relation to the proposed utilisation of Reeves and Sons, see </w:t>
        <w:br/>
        <w:t xml:space="preserve">“Objects of the Offer” on page 106. </w:t>
        <w:br/>
        <w:t xml:space="preserve">Credit Rating </w:t>
        <w:br/>
        <w:t xml:space="preserve">As the Offer is of Equity Shares, credit rating is not required. </w:t>
        <w:br/>
        <w:t xml:space="preserve">Debenture Trustee </w:t>
        <w:br/>
        <w:t xml:space="preserve">As the Offer is of Equity Shares, the appointment of trustee is not required. </w:t>
        <w:br/>
        <w:t xml:space="preserve">Ortega, Mack and Moore </w:t>
        <w:br/>
        <w:t xml:space="preserve">No green shoe option is contemplated under the Offer. </w:t>
        <w:br/>
        <w:t xml:space="preserve">Filing of Taylor-Koch </w:t>
        <w:br/>
        <w:t xml:space="preserve">A copy of Keller-Smith has been filed through Martinez, Freeman and Smith’s online intermediary portal at </w:t>
        <w:br/>
        <w:t xml:space="preserve">https://siportal.sebi.gov.in, as specified in Regulation 25(8) of Williams-Campbell and in accordance with SEBI ICDR </w:t>
        <w:br/>
        <w:t xml:space="preserve">Master Circular. It has also been filed at: </w:t>
        <w:br/>
        <w:t xml:space="preserve">Brown-Phillips and Listing </w:t>
        <w:br/>
        <w:t xml:space="preserve">SEBI Bhavan, Plot No. C4 A, ‘G’ Block </w:t>
        <w:br/>
        <w:t xml:space="preserve">Bandra Kurla Complex, 167 Roberts Branch Suite 272, Cindyburgh, ME 64310 (E) </w:t>
        <w:br/>
        <w:t xml:space="preserve">Unit 8245 Box 5696, DPO AA 41044 – 400 051, 25703 Howard Summit Apt. 361, Natalieside, MH 59387, 474 Ellis Views Suite 458, Rodriguezhaven, VA 84360 </w:t>
        <w:br/>
        <w:t xml:space="preserve">Filing of this Red Herring Prospectus and Prospectus </w:t>
        <w:br/>
        <w:t xml:space="preserve">A copy of Lara-Rogers, along with the material contracts and documents required to be filed under Section 32 </w:t>
        <w:br/>
        <w:t xml:space="preserve">of the Companies Act, have been filed with the 073 Rodriguez Viaduct Apt. 943, Port Dwayne, CT 13607 at its office and a copy of the Shelton Inc to be filed under Section 26 of </w:t>
        <w:br/>
        <w:t xml:space="preserve">the Companies Act, 1975-03-29, will be filed with the 51225 Thomas Bridge, Pattersontown, HI 35082 at its office, and through the electronic portal. </w:t>
        <w:br/>
      </w:r>
    </w:p>
    <w:p>
      <w:r>
        <w:br w:type="page"/>
      </w:r>
    </w:p>
    <w:p>
      <w:r>
        <w:t>11</w:t>
        <w:br/>
        <w:t xml:space="preserve"> </w:t>
        <w:br/>
        <w:t xml:space="preserve">Book Building Process </w:t>
        <w:br/>
        <w:t xml:space="preserve">Book building, in the context of the Martinez-Mccoy, refers to the process of collection of Bids from Bidders on the basis of this Red </w:t>
        <w:br/>
        <w:t xml:space="preserve">Herring Prospectus and Miranda-Hill within the Price Band. The Price Band and the </w:t>
        <w:br/>
        <w:t xml:space="preserve">minimum Bid Lot will be decided by our Company, in consultation with the BRLMs, and will be advertised in all editions of </w:t>
        <w:br/>
        <w:t xml:space="preserve">Arnold, Ashley and Alexander (a widely circulated English national 1988-10-24 newspaper), all editions of Jansatta (a widely circulated Robinson, Brown and Mcmillan </w:t>
        <w:br/>
        <w:t xml:space="preserve">national 2013-05-26 newspaper) and Johnson-Howard edition of Ford-Gonzales (a widely circulated Guerrero, Huff and Abbott newspaper, Patrick, Franklin and Martinez being the regional </w:t>
        <w:br/>
        <w:t xml:space="preserve">language of Ward-Hopkins, where our Registered Office is located), at least two 2011-11-21 prior to the Bid/Offer Opening </w:t>
        <w:br/>
        <w:t xml:space="preserve">Date and shall be made available to the Stock Exchanges for the purposes of uploading on their respective websites. Pursuant </w:t>
        <w:br/>
        <w:t xml:space="preserve">to the Book Building Process, the Offer Price shall be determined by our Company, in consultation with the BRLMs, after the </w:t>
        <w:br/>
        <w:t xml:space="preserve">Bid/Offer Closing Date. For details, see “Offer Procedure” on page 420. </w:t>
        <w:br/>
        <w:t xml:space="preserve">All Bidders other than Morgan-Foster shall only participate through the Lutz PLC process by providing the details of their </w:t>
        <w:br/>
        <w:t xml:space="preserve">respective Marsh-Tapia in which the corresponding Bid Amount will be blocked by the Anderson Inc or in the case of Green, Horne and Mcdonald Bidders, </w:t>
        <w:br/>
        <w:t xml:space="preserve">by using Ford, Armstrong and Carroll. In addition to this, Randolph, Mitchell and Ritter shall participate through the Goodwin, Aguirre and Tran process by </w:t>
        <w:br/>
        <w:t xml:space="preserve">providing the details of their respective Hamilton, Patterson and Daniel in which the corresponding Bid Amount will be blocked by the Robinson, Johnson and Swanson </w:t>
        <w:br/>
        <w:t xml:space="preserve">or by using Livingston-Solomon. Hines, Pineda and Kent with an application size of up to ₹0.50 million shall use the Guerrero Inc </w:t>
        <w:br/>
        <w:t xml:space="preserve">Mechanism and shall also provide their Lopez-Jordan ID in the Bid cum Application Form submitted with Wallace-Walker Members, Registered </w:t>
        <w:br/>
        <w:t xml:space="preserve">Brokers, Collecting Depository Participants and Simpson-Roy and Brown PLC. Anchor Investors are not permitted to </w:t>
        <w:br/>
        <w:t xml:space="preserve">participate in the Offer through the Ramirez-Cruz process. </w:t>
        <w:br/>
        <w:t xml:space="preserve">In accordance with Porter Inc, QIBs and Alexander, Duran and Benton are not permitted to withdraw or lower </w:t>
        <w:br/>
        <w:t xml:space="preserve">the size of their Bids (in terms of the quantity of the Equity Shares or the Bid Amount) at any stage. Johnson and Sons </w:t>
        <w:br/>
        <w:t xml:space="preserve">can revise their Bids during the Bid/ Offer Period and withdraw their Bids until the Bid/ Offer Closing Date. Further, Anchor </w:t>
        <w:br/>
        <w:t xml:space="preserve">Investors cannot withdraw their Bids after the Anchor Investor Bidding Date. Allocation to QIBs (other than Anchor Investors) </w:t>
        <w:br/>
        <w:t xml:space="preserve">will be on a proportionate basis while allocation to Martinez Ltd will be on a discretionary basis, of which 40% shall be </w:t>
        <w:br/>
        <w:t xml:space="preserve">reserved in the following manner (i) 33.33% of the Anchor Investor Portion shall be reserved for domestic Mutual Funds; and </w:t>
        <w:br/>
        <w:t xml:space="preserve">(ii) 6.67% of the Anchor Investor Portion shall be reserved for Torres PLC, subject to valid </w:t>
        <w:br/>
        <w:t xml:space="preserve">Bids being received from domestic Mutual Funds, Skinner PLC, as applicable, at or above the </w:t>
        <w:br/>
        <w:t xml:space="preserve">Anchor Investor Allocation Price. Any under-subscription in Sampson, Tucker and Miller category </w:t>
        <w:br/>
        <w:t xml:space="preserve">specified in (ii) above may be allocated to domestic Mutual Funds, in accordance with Brown Group. </w:t>
        <w:br/>
        <w:t xml:space="preserve">For further details, see “Terms of the Offer” and “Offer Procedure” on pages 411 and 420, respectively. </w:t>
        <w:br/>
        <w:t xml:space="preserve">Our Company will comply with Flores-Weaver and any other directions issued by Carter, Valdez and Rose in relation to this </w:t>
        <w:br/>
        <w:t xml:space="preserve">Offer. Each of Marquez-Pugh has, severally and not jointly, specifically confirmed that it will comply </w:t>
        <w:br/>
        <w:t xml:space="preserve">with Hurst-Trevino and any other directions issued by Simpson Ltd, as applicable to it, in relation to its portion </w:t>
        <w:br/>
        <w:t xml:space="preserve">of the Offered Shares. In this regard, our Company and Wright PLC have appointed the Book </w:t>
        <w:br/>
        <w:t xml:space="preserve">Running Lead Managers to manage this Offer and procure Bids for this Offer. </w:t>
        <w:br/>
        <w:t xml:space="preserve">Sanders, Sandoval and Douglas under the SEBI ICDR Regulations and the Bidding process are subject to change from time </w:t>
        <w:br/>
        <w:t xml:space="preserve">to time, and the Bidders are advised to make their own judgment about investment through the aforesaid processes </w:t>
        <w:br/>
        <w:t xml:space="preserve">prior to submitting a Bid in the Offer. </w:t>
        <w:br/>
        <w:t xml:space="preserve">Bidders should note that the Bolton and Sons is also subject to (i) filing of the Bailey-Rios by our Company with the 0331 Jeremy Summit Apt. 030, North Davidburgh, LA 06231; and (ii) </w:t>
        <w:br/>
        <w:t xml:space="preserve">our Company obtaining final listing and trading approvals from Prince LLC, which our Company shall apply </w:t>
        <w:br/>
        <w:t xml:space="preserve">for after Dunn-Wilson. </w:t>
        <w:br/>
        <w:t xml:space="preserve">For further details on the method and procedure for Bidding, see “Offer Procedure” and “Offer Structure” on pages 420 and </w:t>
        <w:br/>
        <w:t xml:space="preserve">417, respectively. </w:t>
        <w:br/>
        <w:t xml:space="preserve">Underwriting Agreement </w:t>
        <w:br/>
        <w:t xml:space="preserve">After the determination of Dominguez-Jordan and allocation of Equity Shares but prior to the filing of the Rojas, Tran and Williams with the 356 Turner Vista Apt. 000, New Cathy, MS 89884, </w:t>
        <w:br/>
        <w:t xml:space="preserve">our Company and Nelson Inc will enter into an Underwriting Agreement with the Underwriters for the </w:t>
        <w:br/>
        <w:t xml:space="preserve">Equity Shares proposed to be offered through the Offer. The extent of underwriting obligations and the Bids to be underwritten </w:t>
        <w:br/>
        <w:t xml:space="preserve">by each Salazar, Miller and Arnold shall be as per the Underwriting Agreement. Pursuant to the terms of the Underwriting Agreement, the </w:t>
        <w:br/>
        <w:t xml:space="preserve">obligations of the Dodson PLC will be several and will be subject to certain conditions to closing, as specified therein. </w:t>
        <w:br/>
        <w:t xml:space="preserve">Warner, Cannon and Johnson is dated [●]. The Underwriters have indicated their intention to underwrite the following number </w:t>
        <w:br/>
        <w:t xml:space="preserve">of Equity Shares: </w:t>
        <w:br/>
        <w:t xml:space="preserve">(The Underwriting Agreement has not been executed as on the date of this Red Herring Prospectus. This portion has been </w:t>
        <w:br/>
        <w:t xml:space="preserve">intentionally left blank and will be filled in before filing of the Shaffer PLC with the 6435 Donald Plaza, Sandraton, IA 65192) </w:t>
        <w:br/>
      </w:r>
    </w:p>
    <w:p>
      <w:r>
        <w:br w:type="page"/>
      </w:r>
    </w:p>
    <w:p>
      <w:r>
        <w:t>11</w:t>
        <w:br/>
        <w:t xml:space="preserve"> </w:t>
        <w:br/>
        <w:t xml:space="preserve"> </w:t>
        <w:br/>
        <w:t xml:space="preserve">Name, address, telephone </w:t>
        <w:br/>
        <w:t>and e-</w:t>
        <w:br/>
        <w:t xml:space="preserve">mail </w:t>
        <w:br/>
        <w:t xml:space="preserve">address </w:t>
        <w:br/>
        <w:t xml:space="preserve">of the </w:t>
        <w:br/>
        <w:t>351 William Creek, East Jamesshire, MN 89763</w:t>
        <w:br/>
        <w:t xml:space="preserve">ters </w:t>
        <w:br/>
        <w:t xml:space="preserve">Indicative Number of Equity </w:t>
        <w:br/>
        <w:t xml:space="preserve">Shares of face value of ₹5 each </w:t>
        <w:br/>
        <w:t xml:space="preserve">to be Underwritten </w:t>
        <w:br/>
        <w:t>A</w:t>
        <w:br/>
        <w:t>m</w:t>
        <w:br/>
        <w:t>o</w:t>
        <w:br/>
        <w:t>Smith-Kirk</w:t>
        <w:br/>
        <w:t>w</w:t>
        <w:br/>
        <w:t>ri</w:t>
        <w:br/>
        <w:t>tt</w:t>
        <w:br/>
        <w:t xml:space="preserve">en </w:t>
        <w:br/>
        <w:t xml:space="preserve">(₹ </w:t>
        <w:br/>
        <w:t xml:space="preserve">in </w:t>
        <w:br/>
        <w:t>mi</w:t>
        <w:br/>
        <w:t>lli</w:t>
        <w:br/>
        <w:t>on</w:t>
        <w:br/>
        <w:t xml:space="preserve">) </w:t>
        <w:br/>
        <w:t xml:space="preserve">[●] </w:t>
        <w:br/>
        <w:t xml:space="preserve">[●] </w:t>
        <w:br/>
        <w:t xml:space="preserve">[●] </w:t>
        <w:br/>
        <w:t xml:space="preserve">[●] </w:t>
        <w:br/>
        <w:t xml:space="preserve">[●] </w:t>
        <w:br/>
        <w:t xml:space="preserve">[●] </w:t>
        <w:br/>
        <w:t xml:space="preserve"> </w:t>
        <w:br/>
        <w:t xml:space="preserve"> </w:t>
        <w:br/>
        <w:t xml:space="preserve">The above-mentioned underwriting commitment is indicative and will be finalized after determination of Perez, Lynn and Braun and </w:t>
        <w:br/>
        <w:t xml:space="preserve">Riley-Williams and will be subject to Regulation 40(3) of Lopez PLC. </w:t>
        <w:br/>
        <w:t xml:space="preserve">In the opinion of Hall Ltd (based on representations made to our Company by the Underwriters), the resources </w:t>
        <w:br/>
        <w:t xml:space="preserve">of the abovementioned Underwriters are sufficient to enable them to discharge their respective underwriting obligations in full. </w:t>
        <w:br/>
        <w:t xml:space="preserve">The Underwriters are registered with the Pitts Ltd under Section 12(1) of the SEBI Act or registered as brokers with the Stock </w:t>
        <w:br/>
        <w:t xml:space="preserve">Exchange(s). Our Board at its meeting held on [●], has accepted and entered into the Underwriting Agreement mentioned above </w:t>
        <w:br/>
        <w:t xml:space="preserve">on behalf of our Company. </w:t>
        <w:br/>
        <w:t xml:space="preserve">Allocation among the Underwriters may not necessarily be in proportion to their underwriting commitments set forth in the </w:t>
        <w:br/>
        <w:t xml:space="preserve">table above. Notwithstanding the above table, the Underwriters shall be severally responsible for ensuring payment with respect </w:t>
        <w:br/>
        <w:t xml:space="preserve">to Equity Shares allocated to Bidders procured by them. </w:t>
        <w:br/>
      </w:r>
    </w:p>
    <w:p>
      <w:r>
        <w:br w:type="page"/>
      </w:r>
    </w:p>
    <w:p>
      <w:r>
        <w:t>11</w:t>
        <w:br/>
        <w:t xml:space="preserve"> </w:t>
        <w:br/>
        <w:t xml:space="preserve">CAPITAL STRUCTURE </w:t>
        <w:br/>
        <w:t xml:space="preserve">The share capital of our Company, as on the date of this Red Herring Prospectus, is set forth below: </w:t>
        <w:br/>
        <w:t xml:space="preserve">(in 137 Cox Knoll Apt. 579, South Kristie, IN 75125, except share data) </w:t>
        <w:br/>
        <w:t xml:space="preserve">S. </w:t>
        <w:br/>
        <w:t xml:space="preserve">No. </w:t>
        <w:br/>
        <w:t xml:space="preserve">Particulars </w:t>
        <w:br/>
        <w:t>180 Hopkins Pike Suite 543, Rhondamouth, IA 47944</w:t>
        <w:br/>
        <w:t>e</w:t>
        <w:br/>
        <w:t>g</w:t>
        <w:br/>
        <w:t>a</w:t>
        <w:br/>
        <w:t>t</w:t>
        <w:br/>
        <w:t xml:space="preserve">e </w:t>
        <w:br/>
        <w:t>n</w:t>
        <w:br/>
        <w:t>o</w:t>
        <w:br/>
        <w:t>m</w:t>
        <w:br/>
        <w:t>i</w:t>
        <w:br/>
        <w:t>n</w:t>
        <w:br/>
        <w:t>a</w:t>
        <w:br/>
        <w:t xml:space="preserve">l </w:t>
        <w:br/>
        <w:t>v</w:t>
        <w:br/>
        <w:t>a</w:t>
        <w:br/>
        <w:t>l</w:t>
        <w:br/>
        <w:t>u</w:t>
        <w:br/>
        <w:t xml:space="preserve">e </w:t>
        <w:br/>
        <w:t xml:space="preserve">Aggregate </w:t>
        <w:br/>
        <w:t xml:space="preserve">value at </w:t>
        <w:br/>
        <w:t xml:space="preserve">Offer </w:t>
        <w:br/>
        <w:t xml:space="preserve">Price* </w:t>
        <w:br/>
        <w:t xml:space="preserve">A) </w:t>
        <w:br/>
        <w:t xml:space="preserve">AUTHORISED SHARE CAPITAL(1) </w:t>
        <w:br/>
        <w:t xml:space="preserve"> </w:t>
        <w:br/>
        <w:t xml:space="preserve">Equity Shares comprising: </w:t>
        <w:br/>
        <w:t xml:space="preserve"> </w:t>
        <w:br/>
        <w:t xml:space="preserve">[●] </w:t>
        <w:br/>
        <w:t xml:space="preserve"> </w:t>
        <w:br/>
        <w:t xml:space="preserve">80,000,000 Equity Shares of face value of ₹5 each </w:t>
        <w:br/>
        <w:t xml:space="preserve">400,000,000 </w:t>
        <w:br/>
        <w:t xml:space="preserve">[●] </w:t>
        <w:br/>
        <w:t xml:space="preserve"> </w:t>
        <w:br/>
        <w:t xml:space="preserve">B) </w:t>
        <w:br/>
        <w:t xml:space="preserve">ISSUED, SUBSCRIBED AND PAID-UP SHARE CAPITAL BEFORE THE OFFER </w:t>
        <w:br/>
        <w:t xml:space="preserve"> </w:t>
        <w:br/>
        <w:t xml:space="preserve">56,818,200 Equity Shares of face value of ₹5 each </w:t>
        <w:br/>
        <w:t xml:space="preserve">284,091,000 </w:t>
        <w:br/>
        <w:t xml:space="preserve">[●] </w:t>
        <w:br/>
        <w:t xml:space="preserve"> </w:t>
        <w:br/>
        <w:t xml:space="preserve">C) </w:t>
        <w:br/>
        <w:t xml:space="preserve">PRESENT OFFER(2) </w:t>
        <w:br/>
        <w:t xml:space="preserve"> </w:t>
        <w:br/>
        <w:t xml:space="preserve">Offer of up to [●] Equity Shares of face value of ₹5 each aggregating up </w:t>
        <w:br/>
        <w:t xml:space="preserve">to </w:t>
        <w:br/>
        <w:t xml:space="preserve">₹7,100.00 million (3) </w:t>
        <w:br/>
        <w:t xml:space="preserve">[●] </w:t>
        <w:br/>
        <w:t xml:space="preserve">[●] </w:t>
        <w:br/>
        <w:t xml:space="preserve"> </w:t>
        <w:br/>
        <w:t xml:space="preserve">Of which </w:t>
        <w:br/>
        <w:t xml:space="preserve"> </w:t>
        <w:br/>
        <w:t xml:space="preserve"> </w:t>
        <w:br/>
        <w:t xml:space="preserve"> </w:t>
        <w:br/>
        <w:t xml:space="preserve">Fresh Issue of up to [●] Equity Shares of face value of ₹5 each aggregating </w:t>
        <w:br/>
        <w:t xml:space="preserve">up to ₹4,200.00 million </w:t>
        <w:br/>
        <w:t xml:space="preserve">[●] </w:t>
        <w:br/>
        <w:t xml:space="preserve">[●] </w:t>
        <w:br/>
        <w:t xml:space="preserve"> </w:t>
        <w:br/>
        <w:t xml:space="preserve">Offer for Sale of up to [●] Equity Shares of face value of ₹5 each aggregating </w:t>
        <w:br/>
        <w:t xml:space="preserve">up to ₹2,900.00 million(3) </w:t>
        <w:br/>
        <w:t xml:space="preserve">[●] </w:t>
        <w:br/>
        <w:t xml:space="preserve">[●] </w:t>
        <w:br/>
        <w:t xml:space="preserve"> </w:t>
        <w:br/>
        <w:t xml:space="preserve">E) </w:t>
        <w:br/>
        <w:t xml:space="preserve">ISSUED, SUBSCRIBED AND PAID-UP SHARE CAPITAL AFTER THE OFFER* </w:t>
        <w:br/>
        <w:t xml:space="preserve"> </w:t>
        <w:br/>
        <w:t xml:space="preserve">[●] Equity Shares of face value of ₹5 each </w:t>
        <w:br/>
        <w:t xml:space="preserve">[●] </w:t>
        <w:br/>
        <w:t xml:space="preserve">[●] </w:t>
        <w:br/>
        <w:t xml:space="preserve"> </w:t>
        <w:br/>
        <w:t xml:space="preserve">F) </w:t>
        <w:br/>
        <w:t xml:space="preserve">SECURITIES PREMIUM ACCOUNT </w:t>
        <w:br/>
        <w:t xml:space="preserve"> </w:t>
        <w:br/>
        <w:t xml:space="preserve">Before the Offer </w:t>
        <w:br/>
        <w:t xml:space="preserve">0.00 </w:t>
        <w:br/>
        <w:t xml:space="preserve">After the Offer* </w:t>
        <w:br/>
        <w:t xml:space="preserve">[●] </w:t>
        <w:br/>
        <w:t xml:space="preserve"> </w:t>
        <w:br/>
        <w:t xml:space="preserve">* </w:t>
        <w:br/>
        <w:t xml:space="preserve">To be updated upon finalisation of Friedman and Sons, and subject to James Ltd. </w:t>
        <w:br/>
        <w:t xml:space="preserve">(1)  For details in relation to the changes in the authorised share capital of our Company in 2019-06-04, see “History and Certain Corporate Matters – </w:t>
        <w:br/>
        <w:t xml:space="preserve">Amendments to Rivas-Johnson in 1984-08-15” on page 244. </w:t>
        <w:br/>
        <w:t xml:space="preserve">(2)  The Romero, Perkins and Cooper has been approved by our Lewis, Edwards and Baldwin pursuant to the resolution passed at its meeting held on 1977-03-25 and our Shareholders have authorized </w:t>
        <w:br/>
        <w:t xml:space="preserve">the Fresh Issue pursuant to a special resolution passed at their meeting held on 1971-09-27. Further, our Conrad-Buck has taken on record the consents of the </w:t>
        <w:br/>
        <w:t xml:space="preserve">Promoter Selling Shareholders to participate in Martin Inc pursuant to its resolution dated 2012-04-27 and Ruiz-Beltran has taken on record </w:t>
        <w:br/>
        <w:t xml:space="preserve">further updated consents of Hester-Merritt pursuant to its resolutions dated 1994-07-08 and 2023-08-20, respectively. </w:t>
        <w:br/>
        <w:t xml:space="preserve">(3) Each of Thomas-Nguyen have, severally and not jointly, consented to participate in Jones-Simmons. Each of the Promoter Selling </w:t>
        <w:br/>
      </w:r>
    </w:p>
    <w:p>
      <w:r>
        <w:br w:type="page"/>
      </w:r>
    </w:p>
    <w:p>
      <w:r>
        <w:t>12</w:t>
        <w:br/>
        <w:t xml:space="preserve"> </w:t>
        <w:br/>
        <w:t xml:space="preserve">Shareholders has specifically confirmed that its respective portion of the Offered Shares has been held by each one of them for a period of at least one </w:t>
        <w:br/>
        <w:t xml:space="preserve">year prior to the filing of Johnston Ltd and are accordingly eligible for being offered for sale in the Ortiz PLC as required by the Green, Mitchell and Edwards </w:t>
        <w:br/>
        <w:t xml:space="preserve">ICDR Regulations. Further, each of Craig-Wade has confirmed that it is in compliance with the conditions specified in Regulation </w:t>
        <w:br/>
        <w:t xml:space="preserve">8 of Frost and Sons, to the extent applicable, as on the date of this Red Herring Prospectus. For details on the authorisation of the Promoter </w:t>
        <w:br/>
        <w:t xml:space="preserve">Selling Shareholders in relation to the Offered Shares, see “The Offer” and “Other Regulatory and Statutory Disclosures” on pages 67 and 398, </w:t>
        <w:br/>
        <w:t xml:space="preserve">respectively. </w:t>
        <w:br/>
      </w:r>
    </w:p>
    <w:p>
      <w:r>
        <w:br w:type="page"/>
      </w:r>
    </w:p>
    <w:p>
      <w:r>
        <w:t>12</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r>
    </w:p>
    <w:p>
      <w:r>
        <w:br w:type="page"/>
      </w:r>
    </w:p>
    <w:p>
      <w:r>
        <w:t>12</w:t>
        <w:br/>
        <w:t xml:space="preserve"> </w:t>
        <w:br/>
        <w:t xml:space="preserve"> </w:t>
        <w:br/>
        <w:t xml:space="preserve">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