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p>
    <w:p/>
    <w:p>
      <w:r>
        <w:t>(Please scan this QR Code to view this Red Herring Prospectus)</w:t>
      </w:r>
    </w:p>
    <w:p>
      <w:pPr>
        <w:pStyle w:val="Heading2"/>
      </w:pPr>
    </w:p>
    <w:p>
      <w:pPr>
        <w:pStyle w:val="Heading2"/>
      </w:pPr>
      <w:r>
        <w:t>RED HERRING PROSPECTUS</w:t>
      </w:r>
    </w:p>
    <w:p>
      <w:pPr>
        <w:pStyle w:val="BodyText"/>
      </w:pPr>
      <w:r>
        <w:t>Dated December 10, 2025</w:t>
      </w:r>
    </w:p>
    <w:p>
      <w:r>
        <w:t>Please read section 32 of the Companies Act, 2013</w:t>
      </w:r>
    </w:p>
    <w:p>
      <w:pPr>
        <w:pStyle w:val="Heading3"/>
      </w:pPr>
      <w:r>
        <w:t>100% Book Built Offer</w:t>
      </w:r>
    </w:p>
    <w:p>
      <w:pPr>
        <w:pStyle w:val="Heading3"/>
      </w:pPr>
    </w:p>
    <w:p>
      <w:pPr>
        <w:pStyle w:val="BodyText"/>
      </w:pPr>
    </w:p>
    <w:p/>
    <w:p>
      <w:pPr>
        <w:pStyle w:val="Heading2"/>
      </w:pPr>
      <w:r>
        <w:t>KSH INTERNATIONAL LIMITED CORPORATE IDENTITY NUMBER: U28129PN1979PLC141032</w:t>
      </w:r>
    </w:p>
    <w:p>
      <w:pPr>
        <w:pStyle w:val="BodyText"/>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REGISTERED OFFICE</w:t>
            </w:r>
          </w:p>
        </w:tc>
        <w:tc>
          <w:tcPr>
            <w:tcW w:type="dxa" w:w="1234"/>
          </w:tcPr>
          <w:p>
            <w:r>
              <w:t>CORPORATE OFFICE</w:t>
            </w:r>
          </w:p>
        </w:tc>
        <w:tc>
          <w:tcPr>
            <w:tcW w:type="dxa" w:w="2468"/>
            <w:gridSpan w:val="2"/>
          </w:tcPr>
          <w:p>
            <w:r>
              <w:t>CONTACT PERSON</w:t>
            </w:r>
          </w:p>
        </w:tc>
        <w:tc>
          <w:tcPr>
            <w:tcW w:type="dxa" w:w="2468"/>
            <w:gridSpan w:val="2"/>
          </w:tcPr>
          <w:p>
            <w:r>
              <w:t>E-MAIL AND TELEPHONE</w:t>
            </w:r>
          </w:p>
        </w:tc>
        <w:tc>
          <w:tcPr>
            <w:tcW w:type="dxa" w:w="1234"/>
          </w:tcPr>
          <w:p>
            <w:r>
              <w:t>WEBSITE</w:t>
            </w:r>
          </w:p>
        </w:tc>
      </w:tr>
      <w:tr>
        <w:tc>
          <w:tcPr>
            <w:tcW w:type="dxa" w:w="1234"/>
          </w:tcPr>
          <w:p>
            <w:r>
              <w:t>11/3, 11/4 and 11/5 Village Birdewadi Chakan Taluka - Khed Pune – 410 501</w:t>
              <w:br/>
              <w:t>Maharashtra, India</w:t>
            </w:r>
          </w:p>
        </w:tc>
        <w:tc>
          <w:tcPr>
            <w:tcW w:type="dxa" w:w="1234"/>
          </w:tcPr>
          <w:p>
            <w:r>
              <w:t>201, Tower 2, Montreal Business Centre, Off Pallod Farms, Baner Pune – 411 045</w:t>
              <w:br/>
              <w:t>Maharashtra, India</w:t>
            </w:r>
          </w:p>
        </w:tc>
        <w:tc>
          <w:tcPr>
            <w:tcW w:type="dxa" w:w="2468"/>
            <w:gridSpan w:val="2"/>
          </w:tcPr>
          <w:p>
            <w:r>
              <w:br/>
              <w:t>John Doe Company Secretary and Compliance Officer</w:t>
            </w:r>
          </w:p>
        </w:tc>
        <w:tc>
          <w:tcPr>
            <w:tcW w:type="dxa" w:w="2468"/>
            <w:gridSpan w:val="2"/>
          </w:tcPr>
          <w:p>
            <w:r>
              <w:br/>
              <w:t>Email: peter.parker@example.com Telephone: +91 555000000</w:t>
            </w:r>
          </w:p>
        </w:tc>
        <w:tc>
          <w:tcPr>
            <w:tcW w:type="dxa" w:w="1234"/>
          </w:tcPr>
          <w:p>
            <w:r>
              <w:br/>
              <w:t>www.kshinternational. com</w:t>
            </w:r>
          </w:p>
        </w:tc>
      </w:tr>
      <w:tr>
        <w:tc>
          <w:tcPr>
            <w:tcW w:type="dxa" w:w="8638"/>
            <w:gridSpan w:val="7"/>
          </w:tcPr>
          <w:p>
            <w:r>
              <w:t>OUR PROMOTERS: Emily Davis, Michael Chen, Priya Sharma, Jane Smith, Peter Parker, Granite Logistics LLP, Falcon Capital Limited, Evergreen Textiles Private Limited, Delta Fabrication Limited, Crestline Holdings LLP, Bluewave Industries Pvt. Ltd. AND</w:t>
              <w:br/>
              <w:t>Alpha Ventures Limited</w:t>
            </w:r>
          </w:p>
        </w:tc>
      </w:tr>
      <w:tr>
        <w:tc>
          <w:tcPr>
            <w:tcW w:type="dxa" w:w="8638"/>
            <w:gridSpan w:val="7"/>
          </w:tcPr>
          <w:p>
            <w:r>
              <w:t>DETAILS OF THE OFFER TO PUBLIC</w:t>
            </w:r>
          </w:p>
        </w:tc>
      </w:tr>
      <w:tr>
        <w:tc>
          <w:tcPr>
            <w:tcW w:type="dxa" w:w="1234"/>
          </w:tcPr>
          <w:p>
            <w:r>
              <w:br/>
              <w:t>TYPE</w:t>
            </w:r>
          </w:p>
        </w:tc>
        <w:tc>
          <w:tcPr>
            <w:tcW w:type="dxa" w:w="1234"/>
          </w:tcPr>
          <w:p>
            <w:r>
              <w:t>SIZE OF THE FRESH ISSUE</w:t>
            </w:r>
          </w:p>
        </w:tc>
        <w:tc>
          <w:tcPr>
            <w:tcW w:type="dxa" w:w="1234"/>
          </w:tcPr>
          <w:p>
            <w:r>
              <w:t>SIZE</w:t>
              <w:tab/>
              <w:t>OF</w:t>
              <w:tab/>
              <w:t>THE OFFER FOR SALE</w:t>
            </w:r>
          </w:p>
        </w:tc>
        <w:tc>
          <w:tcPr>
            <w:tcW w:type="dxa" w:w="2468"/>
            <w:gridSpan w:val="2"/>
          </w:tcPr>
          <w:p>
            <w:r>
              <w:t>TOTAL OFFER SIZE</w:t>
            </w:r>
          </w:p>
        </w:tc>
        <w:tc>
          <w:tcPr>
            <w:tcW w:type="dxa" w:w="2468"/>
            <w:gridSpan w:val="2"/>
          </w:tcPr>
          <w:p>
            <w:r>
              <w:t>ELIGIBILITY</w:t>
              <w:tab/>
              <w:t>AND</w:t>
              <w:tab/>
              <w:t>SHARE</w:t>
              <w:br/>
              <w:t>RESERVATION AMONG QIBs, NIIs AND RIIs</w:t>
            </w:r>
          </w:p>
        </w:tc>
      </w:tr>
      <w:tr>
        <w:tc>
          <w:tcPr>
            <w:tcW w:type="dxa" w:w="1234"/>
          </w:tcPr>
          <w:p>
            <w:r>
              <w:t>Fresh Issue and Offer for Sale</w:t>
            </w:r>
          </w:p>
        </w:tc>
        <w:tc>
          <w:tcPr>
            <w:tcW w:type="dxa" w:w="1234"/>
          </w:tcPr>
          <w:p>
            <w:r>
              <w:t>Up to [●] Equity Shares of face value of ₹5 each aggregating   up   to</w:t>
              <w:br/>
              <w:t>₹4,200.00 million</w:t>
            </w:r>
          </w:p>
        </w:tc>
        <w:tc>
          <w:tcPr>
            <w:tcW w:type="dxa" w:w="1234"/>
          </w:tcPr>
          <w:p>
            <w:r>
              <w:t>Up  to  [●]  Equity</w:t>
              <w:br/>
              <w:t>Shares of face value of</w:t>
              <w:br/>
              <w:t>₹5 each aggregating up to ₹2,900.00 million</w:t>
            </w:r>
          </w:p>
        </w:tc>
        <w:tc>
          <w:tcPr>
            <w:tcW w:type="dxa" w:w="2468"/>
            <w:gridSpan w:val="2"/>
          </w:tcPr>
          <w:p>
            <w:r>
              <w:t>Up to [●] Equity Shares of face value of ₹5 each aggregating up to</w:t>
              <w:br/>
              <w:t>₹7,100.00 million</w:t>
            </w:r>
          </w:p>
        </w:tc>
        <w:tc>
          <w:tcPr>
            <w:tcW w:type="dxa" w:w="2468"/>
            <w:gridSpan w:val="2"/>
          </w:tcPr>
          <w:p>
            <w:r>
              <w:t>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br/>
              <w:t>Investors, see “Offer Structure” on page 417.</w:t>
            </w:r>
          </w:p>
        </w:tc>
      </w:tr>
      <w:tr>
        <w:tc>
          <w:tcPr>
            <w:tcW w:type="dxa" w:w="8638"/>
            <w:gridSpan w:val="7"/>
          </w:tcPr>
          <w:p>
            <w:r>
              <w:t>DETAILS OF THE PROMOTER SELLING SHAREHOLDERS, OFFER FOR SALE AND WEIGHTED AVERAGE COST OF ACQUISITION PER EQUITY SHARE</w:t>
            </w:r>
          </w:p>
        </w:tc>
      </w:tr>
      <w:tr>
        <w:tc>
          <w:tcPr>
            <w:tcW w:type="dxa" w:w="1234"/>
          </w:tcPr>
          <w:p>
            <w:r>
              <w:t>NAME</w:t>
              <w:tab/>
              <w:t>OF</w:t>
              <w:tab/>
              <w:t>THE PROMOTER SELLING</w:t>
              <w:br/>
              <w:t>SHAREHOLDER</w:t>
            </w:r>
          </w:p>
        </w:tc>
        <w:tc>
          <w:tcPr>
            <w:tcW w:type="dxa" w:w="1234"/>
          </w:tcPr>
          <w:p>
            <w:r>
              <w:br/>
              <w:t>TYPE</w:t>
            </w:r>
          </w:p>
        </w:tc>
        <w:tc>
          <w:tcPr>
            <w:tcW w:type="dxa" w:w="3702"/>
            <w:gridSpan w:val="3"/>
          </w:tcPr>
          <w:p>
            <w:r>
              <w:t>AGGREGATE AMOUNT OF OFFER FOR SALE (₹ IN MILLION)</w:t>
            </w:r>
          </w:p>
        </w:tc>
        <w:tc>
          <w:tcPr>
            <w:tcW w:type="dxa" w:w="2468"/>
            <w:gridSpan w:val="2"/>
          </w:tcPr>
          <w:p>
            <w:r>
              <w:t>WEIGHTED AVERAGE COST OF ACQUISITION PER EQUITY SHARE OF FACE VALUE OF ₹5 EACH (IN ₹) *#</w:t>
            </w:r>
          </w:p>
        </w:tc>
      </w:tr>
      <w:tr>
        <w:tc>
          <w:tcPr>
            <w:tcW w:type="dxa" w:w="1234"/>
          </w:tcPr>
          <w:p>
            <w:r>
              <w:t>Emily Davis</w:t>
            </w:r>
          </w:p>
        </w:tc>
        <w:tc>
          <w:tcPr>
            <w:tcW w:type="dxa" w:w="1234"/>
          </w:tcPr>
          <w:p>
            <w:r>
              <w:t>Promoter Selling Shareholder</w:t>
            </w:r>
          </w:p>
        </w:tc>
        <w:tc>
          <w:tcPr>
            <w:tcW w:type="dxa" w:w="3702"/>
            <w:gridSpan w:val="3"/>
          </w:tcPr>
          <w:p>
            <w:r>
              <w:t>1,528.00</w:t>
            </w:r>
          </w:p>
        </w:tc>
        <w:tc>
          <w:tcPr>
            <w:tcW w:type="dxa" w:w="2468"/>
            <w:gridSpan w:val="2"/>
          </w:tcPr>
          <w:p>
            <w:r>
              <w:t>1.36</w:t>
            </w:r>
          </w:p>
        </w:tc>
      </w:tr>
      <w:tr>
        <w:tc>
          <w:tcPr>
            <w:tcW w:type="dxa" w:w="1234"/>
          </w:tcPr>
          <w:p>
            <w:r>
              <w:t>Michael Chen</w:t>
            </w:r>
          </w:p>
        </w:tc>
        <w:tc>
          <w:tcPr>
            <w:tcW w:type="dxa" w:w="1234"/>
          </w:tcPr>
          <w:p>
            <w:r>
              <w:t>Promoter Selling Shareholder</w:t>
            </w:r>
          </w:p>
        </w:tc>
        <w:tc>
          <w:tcPr>
            <w:tcW w:type="dxa" w:w="3702"/>
            <w:gridSpan w:val="3"/>
          </w:tcPr>
          <w:p>
            <w:r>
              <w:t>422.00</w:t>
            </w:r>
          </w:p>
        </w:tc>
        <w:tc>
          <w:tcPr>
            <w:tcW w:type="dxa" w:w="2468"/>
            <w:gridSpan w:val="2"/>
          </w:tcPr>
          <w:p>
            <w:r>
              <w:t>1.51</w:t>
            </w:r>
          </w:p>
        </w:tc>
      </w:tr>
      <w:tr>
        <w:tc>
          <w:tcPr>
            <w:tcW w:type="dxa" w:w="1234"/>
          </w:tcPr>
          <w:p>
            <w:r>
              <w:t>Priya Sharma</w:t>
            </w:r>
          </w:p>
        </w:tc>
        <w:tc>
          <w:tcPr>
            <w:tcW w:type="dxa" w:w="1234"/>
          </w:tcPr>
          <w:p>
            <w:r>
              <w:t>Promoter Selling Shareholder</w:t>
            </w:r>
          </w:p>
        </w:tc>
        <w:tc>
          <w:tcPr>
            <w:tcW w:type="dxa" w:w="3702"/>
            <w:gridSpan w:val="3"/>
          </w:tcPr>
          <w:p>
            <w:r>
              <w:t>475.00</w:t>
            </w:r>
          </w:p>
        </w:tc>
        <w:tc>
          <w:tcPr>
            <w:tcW w:type="dxa" w:w="2468"/>
            <w:gridSpan w:val="2"/>
          </w:tcPr>
          <w:p>
            <w:r>
              <w:t>1.41</w:t>
            </w:r>
          </w:p>
        </w:tc>
      </w:tr>
      <w:tr>
        <w:tc>
          <w:tcPr>
            <w:tcW w:type="dxa" w:w="1234"/>
          </w:tcPr>
          <w:p>
            <w:r>
              <w:t>Jane Smith</w:t>
            </w:r>
          </w:p>
        </w:tc>
        <w:tc>
          <w:tcPr>
            <w:tcW w:type="dxa" w:w="1234"/>
          </w:tcPr>
          <w:p>
            <w:r>
              <w:t>Promoter Selling Shareholder</w:t>
            </w:r>
          </w:p>
        </w:tc>
        <w:tc>
          <w:tcPr>
            <w:tcW w:type="dxa" w:w="3702"/>
            <w:gridSpan w:val="3"/>
          </w:tcPr>
          <w:p>
            <w:r>
              <w:t>475.00</w:t>
            </w:r>
          </w:p>
        </w:tc>
        <w:tc>
          <w:tcPr>
            <w:tcW w:type="dxa" w:w="2468"/>
            <w:gridSpan w:val="2"/>
          </w:tcPr>
          <w:p>
            <w:r>
              <w:t>1.35</w:t>
            </w:r>
          </w:p>
        </w:tc>
      </w:tr>
      <w:tr>
        <w:tc>
          <w:tcPr>
            <w:tcW w:type="dxa" w:w="8638"/>
            <w:gridSpan w:val="7"/>
          </w:tcPr>
          <w:p>
            <w:r>
              <w:t>*As certified by Kirtane &amp; Horizon Chemicals Limited, Chartered Accountants, our Statutory Auditors, by way of their certificate dated December 10, 2025. For further details, see “Summary of the Offer Document – Average cost of acquisition of Equity Shares by our Promoters and the Promoter Selling Shareholders” on page 26.</w:t>
              <w:br/>
              <w:t>#As adjusted for Split of Equity Shares and Bonus Issue.</w:t>
            </w:r>
          </w:p>
        </w:tc>
      </w:tr>
      <w:tr>
        <w:tc>
          <w:tcPr>
            <w:tcW w:type="dxa" w:w="8638"/>
            <w:gridSpan w:val="7"/>
          </w:tcPr>
          <w:p>
            <w:r>
              <w:t>RISKS IN RELATION TO THE FIRST OFFER</w:t>
            </w:r>
          </w:p>
        </w:tc>
      </w:tr>
      <w:tr>
        <w:tc>
          <w:tcPr>
            <w:tcW w:type="dxa" w:w="8638"/>
            <w:gridSpan w:val="7"/>
          </w:tcPr>
          <w:p>
            <w:r>
              <w:t>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r>
      <w:tr>
        <w:tc>
          <w:tcPr>
            <w:tcW w:type="dxa" w:w="8638"/>
            <w:gridSpan w:val="7"/>
          </w:tcPr>
          <w:p>
            <w:r>
              <w:t>GENERAL RISKS</w:t>
            </w:r>
          </w:p>
        </w:tc>
      </w:tr>
      <w:tr>
        <w:tc>
          <w:tcPr>
            <w:tcW w:type="dxa" w:w="8638"/>
            <w:gridSpan w:val="7"/>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w:t>
            </w:r>
          </w:p>
        </w:tc>
      </w:tr>
    </w:tbl>
    <w:p>
      <w:pPr>
        <w:pStyle w:val="BodyText"/>
      </w:pPr>
    </w:p>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640"/>
            <w:gridSpan w:val="9"/>
          </w:tcPr>
          <w:p>
            <w:r>
              <w:t>India (“SEBI”), nor does SEBI guarantee the accuracy or adequacy of the contents of this Red Herring Prospectus. Specific attention of the investors is invited to “Risk Factors” on page 28.</w:t>
            </w:r>
          </w:p>
        </w:tc>
      </w:tr>
      <w:tr>
        <w:tc>
          <w:tcPr>
            <w:tcW w:type="dxa" w:w="8640"/>
            <w:gridSpan w:val="9"/>
          </w:tcPr>
          <w:p>
            <w:r>
              <w:t>ISSUER’S AND PROMOTER SELLING SHAREHOLDERS’ ABSOLUTE RESPONSIBILITY</w:t>
            </w:r>
          </w:p>
        </w:tc>
      </w:tr>
      <w:tr>
        <w:tc>
          <w:tcPr>
            <w:tcW w:type="dxa" w:w="8640"/>
            <w:gridSpan w:val="9"/>
          </w:tcPr>
          <w:p>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r>
      <w:tr>
        <w:tc>
          <w:tcPr>
            <w:tcW w:type="dxa" w:w="8640"/>
            <w:gridSpan w:val="9"/>
          </w:tcPr>
          <w:p>
            <w:r>
              <w:t>LISTING</w:t>
            </w:r>
          </w:p>
        </w:tc>
      </w:tr>
      <w:tr>
        <w:tc>
          <w:tcPr>
            <w:tcW w:type="dxa" w:w="8640"/>
            <w:gridSpan w:val="9"/>
          </w:tcPr>
          <w:p>
            <w:r>
              <w:t>The Equity Shares offered through this Red Herring Prospectus are proposed to be listed on the BSE Limited (“BSE”) and National Stock Exchange of Ironclad Engineering Pvt. Ltd. (“NSE”, together with BSE, the “Stock Exchanges”). For the purposes of the Offer, the Designated Stock Exchange is BSE.</w:t>
            </w:r>
          </w:p>
        </w:tc>
      </w:tr>
      <w:tr>
        <w:tc>
          <w:tcPr>
            <w:tcW w:type="dxa" w:w="8640"/>
            <w:gridSpan w:val="9"/>
          </w:tcPr>
          <w:p>
            <w:r>
              <w:t>BOOK RUNNING LEAD MANAGERS</w:t>
            </w:r>
          </w:p>
        </w:tc>
      </w:tr>
      <w:tr>
        <w:tc>
          <w:tcPr>
            <w:tcW w:type="dxa" w:w="2880"/>
            <w:gridSpan w:val="3"/>
          </w:tcPr>
          <w:p>
            <w:r>
              <w:t>NAME AND LOGO OF THE BOOK RUNNING LEAD MANAGER</w:t>
            </w:r>
          </w:p>
        </w:tc>
        <w:tc>
          <w:tcPr>
            <w:tcW w:type="dxa" w:w="3840"/>
            <w:gridSpan w:val="4"/>
          </w:tcPr>
          <w:p>
            <w:r>
              <w:t>CONTACT PERSON</w:t>
            </w:r>
          </w:p>
        </w:tc>
        <w:tc>
          <w:tcPr>
            <w:tcW w:type="dxa" w:w="1920"/>
            <w:gridSpan w:val="2"/>
          </w:tcPr>
          <w:p>
            <w:r>
              <w:t>EMAIL AND TELEPHONE</w:t>
            </w:r>
          </w:p>
        </w:tc>
      </w:tr>
      <w:tr>
        <w:tc>
          <w:tcPr>
            <w:tcW w:type="dxa" w:w="960"/>
          </w:tcPr>
          <w:p>
            <w:r>
              <w:br/>
            </w:r>
          </w:p>
        </w:tc>
        <w:tc>
          <w:tcPr>
            <w:tcW w:type="dxa" w:w="1920"/>
            <w:gridSpan w:val="2"/>
          </w:tcPr>
          <w:p>
            <w:r>
              <w:t>Junction Retail Limited</w:t>
            </w:r>
          </w:p>
        </w:tc>
        <w:tc>
          <w:tcPr>
            <w:tcW w:type="dxa" w:w="3840"/>
            <w:gridSpan w:val="4"/>
          </w:tcPr>
          <w:p>
            <w:r>
              <w:t>Amit Kumar/ Soumavo Sarkar</w:t>
            </w:r>
          </w:p>
        </w:tc>
        <w:tc>
          <w:tcPr>
            <w:tcW w:type="dxa" w:w="1920"/>
            <w:gridSpan w:val="2"/>
          </w:tcPr>
          <w:p>
            <w:r>
              <w:t>Email: priya.sharma@example.com</w:t>
              <w:br/>
              <w:t>Telephone: +91 555000002</w:t>
            </w:r>
          </w:p>
        </w:tc>
      </w:tr>
      <w:tr>
        <w:tc>
          <w:tcPr>
            <w:tcW w:type="dxa" w:w="960"/>
          </w:tcPr>
          <w:p>
            <w:r>
              <w:br/>
            </w:r>
          </w:p>
        </w:tc>
        <w:tc>
          <w:tcPr>
            <w:tcW w:type="dxa" w:w="1920"/>
            <w:gridSpan w:val="2"/>
          </w:tcPr>
          <w:p>
            <w:r>
              <w:br/>
              <w:t>Kestrel Finance Limited</w:t>
            </w:r>
          </w:p>
        </w:tc>
        <w:tc>
          <w:tcPr>
            <w:tcW w:type="dxa" w:w="3840"/>
            <w:gridSpan w:val="4"/>
          </w:tcPr>
          <w:p>
            <w:r>
              <w:br/>
              <w:t>Sarah Brown/ Abhijit Diwan</w:t>
            </w:r>
          </w:p>
        </w:tc>
        <w:tc>
          <w:tcPr>
            <w:tcW w:type="dxa" w:w="1920"/>
            <w:gridSpan w:val="2"/>
          </w:tcPr>
          <w:p>
            <w:r>
              <w:br/>
              <w:t>Email: emily.davis@example.com</w:t>
              <w:br/>
              <w:t>Telephone: +91 555000004</w:t>
            </w:r>
          </w:p>
        </w:tc>
      </w:tr>
      <w:tr>
        <w:tc>
          <w:tcPr>
            <w:tcW w:type="dxa" w:w="8640"/>
            <w:gridSpan w:val="9"/>
          </w:tcPr>
          <w:p>
            <w:r>
              <w:t>REGISTRAR TO THE OFFER</w:t>
            </w:r>
          </w:p>
        </w:tc>
      </w:tr>
      <w:tr>
        <w:tc>
          <w:tcPr>
            <w:tcW w:type="dxa" w:w="960"/>
          </w:tcPr>
          <w:p>
            <w:r>
              <w:t>NAME OF THE REGISTRAR</w:t>
            </w:r>
          </w:p>
        </w:tc>
        <w:tc>
          <w:tcPr>
            <w:tcW w:type="dxa" w:w="4800"/>
            <w:gridSpan w:val="5"/>
          </w:tcPr>
          <w:p>
            <w:r>
              <w:t>CONTACT PERSON</w:t>
            </w:r>
          </w:p>
        </w:tc>
        <w:tc>
          <w:tcPr>
            <w:tcW w:type="dxa" w:w="2880"/>
            <w:gridSpan w:val="3"/>
          </w:tcPr>
          <w:p>
            <w:r>
              <w:t>TELEPHONE AND EMAIL</w:t>
            </w:r>
          </w:p>
        </w:tc>
      </w:tr>
      <w:tr>
        <w:tc>
          <w:tcPr>
            <w:tcW w:type="dxa" w:w="960"/>
          </w:tcPr>
          <w:p>
            <w:r>
              <w:t>Meridian Auto Components Limited</w:t>
              <w:br/>
              <w:t>(Lighthouse Foods Private Limited)</w:t>
            </w:r>
          </w:p>
        </w:tc>
        <w:tc>
          <w:tcPr>
            <w:tcW w:type="dxa" w:w="1920"/>
            <w:gridSpan w:val="2"/>
          </w:tcPr>
          <w:p>
            <w:r>
              <w:t>Shanti Gopalkrishnan</w:t>
            </w:r>
          </w:p>
        </w:tc>
        <w:tc>
          <w:tcPr>
            <w:tcW w:type="dxa" w:w="5760"/>
            <w:gridSpan w:val="6"/>
          </w:tcPr>
          <w:p>
            <w:r>
              <w:t>Telephone: +91 555000007</w:t>
              <w:br/>
              <w:t>E-mail: amit.kumar@example.com</w:t>
            </w:r>
          </w:p>
        </w:tc>
      </w:tr>
      <w:tr>
        <w:tc>
          <w:tcPr>
            <w:tcW w:type="dxa" w:w="8640"/>
            <w:gridSpan w:val="9"/>
          </w:tcPr>
          <w:p>
            <w:r>
              <w:t>BID/OFFER PERIOD</w:t>
            </w:r>
          </w:p>
        </w:tc>
      </w:tr>
      <w:tr>
        <w:tc>
          <w:tcPr>
            <w:tcW w:type="dxa" w:w="960"/>
          </w:tcPr>
          <w:p>
            <w:r>
              <w:t>ANCHOR INVESTOR BIDDING DATE(1)</w:t>
            </w:r>
          </w:p>
        </w:tc>
        <w:tc>
          <w:tcPr>
            <w:tcW w:type="dxa" w:w="960"/>
          </w:tcPr>
          <w:p>
            <w:r>
              <w:t>Monday, December 15,</w:t>
              <w:br/>
              <w:t>2025</w:t>
            </w:r>
          </w:p>
        </w:tc>
        <w:tc>
          <w:tcPr>
            <w:tcW w:type="dxa" w:w="1920"/>
            <w:gridSpan w:val="2"/>
          </w:tcPr>
          <w:p>
            <w:r>
              <w:t>BID/OFFE R OPENS</w:t>
              <w:br/>
              <w:t>ON</w:t>
            </w:r>
          </w:p>
        </w:tc>
        <w:tc>
          <w:tcPr>
            <w:tcW w:type="dxa" w:w="960"/>
          </w:tcPr>
          <w:p>
            <w:r>
              <w:t>Tuesday, December</w:t>
              <w:br/>
              <w:t>16, 2025</w:t>
            </w:r>
          </w:p>
        </w:tc>
        <w:tc>
          <w:tcPr>
            <w:tcW w:type="dxa" w:w="2880"/>
            <w:gridSpan w:val="3"/>
          </w:tcPr>
          <w:p>
            <w:r>
              <w:t>BID/OFFER CLOSES ON(2)</w:t>
            </w:r>
          </w:p>
        </w:tc>
        <w:tc>
          <w:tcPr>
            <w:tcW w:type="dxa" w:w="960"/>
          </w:tcPr>
          <w:p>
            <w:r>
              <w:t>Thursday, December 18, 2025</w:t>
            </w:r>
          </w:p>
        </w:tc>
      </w:tr>
    </w:tbl>
    <w:p/>
    <w:p>
      <w:r>
        <w:t>(1) Our Company, in consultation with the Book Running Lead Managers, may consider participation by Anchor Investors in accordance with the SEBI ICDR Regulations.</w:t>
      </w:r>
    </w:p>
    <w:p>
      <w:r>
        <w:t>(2) The UPI mandate end time and date shall be at 5:00 p.m. on Bid/Offer Closing Day.</w:t>
      </w:r>
    </w:p>
    <w:p/>
    <w:p>
      <w:r>
        <w:t>RED HERRING PROSPECTUS</w:t>
      </w:r>
    </w:p>
    <w:p>
      <w:r>
        <w:t>Dated December 10, 2025 Please read section 32 of the Companies Act, 2013</w:t>
      </w:r>
    </w:p>
    <w:p>
      <w:r>
        <w:t>100% Book Built Offer</w:t>
      </w:r>
    </w:p>
    <w:p>
      <w:pPr>
        <w:pStyle w:val="BodyText"/>
      </w:pPr>
    </w:p>
    <w:p>
      <w:pPr>
        <w:pStyle w:val="Heading2"/>
      </w:pPr>
      <w:r>
        <w:t>KSH INTERNATIONAL LIMITED</w:t>
      </w:r>
    </w:p>
    <w:p>
      <w:r>
        <w:t>Our Company was originally incorporated as “Bhandary Metal Extrusion Private Limited” under the provisions of the Companies Act, 1956, pursuant to a certificate of incorporation dated July 30, 1979, issued by the Registrar of Companies, Maharashtra at Bombay. Subsequently, the name of our Company was changed from “Bhandary Metal Extrusion Private Limited” to “KSH International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r>
        <w:t>Corporate Identity Number: U28129PN1979PLC141032</w:t>
      </w:r>
    </w:p>
    <w:p>
      <w:r>
        <w:t>12 Maple Street, Springfield, IL 62701;</w:t>
      </w:r>
    </w:p>
    <w:p>
      <w:r>
        <w:t>45 Cedar Avenue, Franklin, TX 75001;</w:t>
      </w:r>
    </w:p>
    <w:p>
      <w:r>
        <w:t>Contact Person: John Doe, Company Secretary and Compliance Officer; Telephone: +91 555000008;</w:t>
      </w:r>
    </w:p>
    <w:p>
      <w:r>
        <w:t>E-mail: peter.parker@example.com; Website: www.kshinternational.com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8640"/>
            <w:gridSpan w:val="8"/>
          </w:tcPr>
          <w:p>
            <w:r>
              <w:t>OUR PROMOTERS: Emily Davis, Michael Chen, Priya Sharma, Jane Smith, Peter Parker, Granite Logistics LLP, EVEREST</w:t>
              <w:br/>
              <w:t>FAMILY TRUST, Evergreen Textiles Private Limited, Delta Fabrication Limited, Crestline Holdings LLP, Bluewave Industries Pvt. Ltd. AND Alpha Ventures Limited</w:t>
            </w:r>
          </w:p>
        </w:tc>
      </w:tr>
      <w:tr>
        <w:tc>
          <w:tcPr>
            <w:tcW w:type="dxa" w:w="8640"/>
            <w:gridSpan w:val="8"/>
          </w:tcPr>
          <w:p>
            <w: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Emily Davis AGGREGATING UP TO ₹1,528.00 MILLION, UP TO [●] EQUITY SHARES OF FACE VALUE OF ₹5 EACH BY Michael Chen AGGREGATING UP TO ₹422.00 MILLION, UP TO [●] EQUITY SHARES OF FACE VALUE OF ₹5 EACH BY Priya Sharma AGGREGATING UP TO ₹475.00 MILLION AND UP TO [●] EQUITY SHARES OF FACE VALUE OF ₹5 EACH BY Jane Smith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r>
      <w:tr>
        <w:tc>
          <w:tcPr>
            <w:tcW w:type="dxa" w:w="8640"/>
            <w:gridSpan w:val="8"/>
          </w:tcPr>
          <w:p>
            <w: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br/>
              <w:t>as applicable.</w:t>
            </w:r>
          </w:p>
        </w:tc>
      </w:tr>
      <w:tr>
        <w:tc>
          <w:tcPr>
            <w:tcW w:type="dxa" w:w="8640"/>
            <w:gridSpan w:val="8"/>
          </w:tcPr>
          <w:p>
            <w:r>
              <w:t>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br/>
              <w:t>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p>
        </w:tc>
      </w:tr>
      <w:tr>
        <w:tc>
          <w:tcPr>
            <w:tcW w:type="dxa" w:w="8640"/>
            <w:gridSpan w:val="8"/>
          </w:tcPr>
          <w:p>
            <w:r>
              <w:t>RISKS IN RELATION TO THE FIRST OFFER</w:t>
            </w:r>
          </w:p>
        </w:tc>
      </w:tr>
      <w:tr>
        <w:tc>
          <w:tcPr>
            <w:tcW w:type="dxa" w:w="8640"/>
            <w:gridSpan w:val="8"/>
          </w:tcPr>
          <w:p>
            <w:r>
              <w:t>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r>
      <w:tr>
        <w:tc>
          <w:tcPr>
            <w:tcW w:type="dxa" w:w="8640"/>
            <w:gridSpan w:val="8"/>
          </w:tcPr>
          <w:p>
            <w:r>
              <w:t>GENERAL RISK</w:t>
            </w:r>
          </w:p>
        </w:tc>
      </w:tr>
      <w:tr>
        <w:tc>
          <w:tcPr>
            <w:tcW w:type="dxa" w:w="8640"/>
            <w:gridSpan w:val="8"/>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w:t>
            </w:r>
          </w:p>
        </w:tc>
      </w:tr>
      <w:tr>
        <w:tc>
          <w:tcPr>
            <w:tcW w:type="dxa" w:w="8640"/>
            <w:gridSpan w:val="8"/>
          </w:tcPr>
          <w:p>
            <w:r>
              <w:t>ISSUER’S AND PROMOTER SELLING SHAREHOLDERS’ ABSOLUTE RESPONSIBILITY</w:t>
            </w:r>
          </w:p>
        </w:tc>
      </w:tr>
      <w:tr>
        <w:tc>
          <w:tcPr>
            <w:tcW w:type="dxa" w:w="8640"/>
            <w:gridSpan w:val="8"/>
          </w:tcPr>
          <w:p>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r>
      <w:tr>
        <w:tc>
          <w:tcPr>
            <w:tcW w:type="dxa" w:w="8640"/>
            <w:gridSpan w:val="8"/>
          </w:tcPr>
          <w:p>
            <w:r>
              <w:t>LISTING</w:t>
            </w:r>
          </w:p>
        </w:tc>
      </w:tr>
      <w:tr>
        <w:tc>
          <w:tcPr>
            <w:tcW w:type="dxa" w:w="8640"/>
            <w:gridSpan w:val="8"/>
          </w:tcPr>
          <w:p>
            <w: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c>
          <w:tcPr>
            <w:tcW w:type="dxa" w:w="6480"/>
            <w:gridSpan w:val="6"/>
          </w:tcPr>
          <w:p>
            <w:r>
              <w:t>BOOK RUNNING LEAD MANAGERS</w:t>
            </w:r>
          </w:p>
        </w:tc>
        <w:tc>
          <w:tcPr>
            <w:tcW w:type="dxa" w:w="2160"/>
            <w:gridSpan w:val="2"/>
          </w:tcPr>
          <w:p>
            <w:r>
              <w:t>REGISTRAR TO THE OFFER</w:t>
            </w:r>
          </w:p>
        </w:tc>
      </w:tr>
      <w:tr>
        <w:tc>
          <w:tcPr>
            <w:tcW w:type="dxa" w:w="2160"/>
            <w:gridSpan w:val="2"/>
          </w:tcPr>
          <w:p>
            <w:r>
              <w:br/>
            </w:r>
          </w:p>
        </w:tc>
        <w:tc>
          <w:tcPr>
            <w:tcW w:type="dxa" w:w="4320"/>
            <w:gridSpan w:val="4"/>
          </w:tcPr>
          <w:p>
            <w:r>
              <w:br/>
            </w:r>
          </w:p>
        </w:tc>
        <w:tc>
          <w:tcPr>
            <w:tcW w:type="dxa" w:w="2160"/>
            <w:gridSpan w:val="2"/>
          </w:tcPr>
          <w:p>
            <w:r>
              <w:br/>
            </w:r>
          </w:p>
        </w:tc>
      </w:tr>
      <w:tr>
        <w:tc>
          <w:tcPr>
            <w:tcW w:type="dxa" w:w="2160"/>
            <w:gridSpan w:val="2"/>
          </w:tcPr>
          <w:p>
            <w:r>
              <w:t>Northgate Bank Limited</w:t>
              <w:br/>
              <w:t>78 Birch Lane, Georgetown, OH 45121</w:t>
              <w:br/>
              <w:t>Tel: +91 555000010</w:t>
              <w:br/>
              <w:t>E-mail: priya.sharma@example.com</w:t>
              <w:br/>
              <w:t>Website: www.nuvama.com</w:t>
              <w:br/>
              <w:t>Investor grievance email: anjali.rao@example.com</w:t>
              <w:br/>
              <w:t>Contact Person: Amit Kumar/ Soumavo Sarkar</w:t>
              <w:br/>
              <w:t>SEBI Registration Number: INM000013004</w:t>
            </w:r>
          </w:p>
        </w:tc>
        <w:tc>
          <w:tcPr>
            <w:tcW w:type="dxa" w:w="4320"/>
            <w:gridSpan w:val="4"/>
          </w:tcPr>
          <w:p>
            <w:r>
              <w:t>Oakridge Pharma LLP</w:t>
              <w:br/>
              <w:t>23 Oakwood Road, Clinton, KS 67012</w:t>
              <w:br/>
              <w:t>Tel: +91 555000004</w:t>
              <w:br/>
              <w:t>E-mail: emily.davis@example.com</w:t>
              <w:br/>
              <w:t>Website: www.icicisecurities.com</w:t>
              <w:br/>
              <w:t>Investor grievance email: neha.verma@example.com</w:t>
              <w:br/>
              <w:t>Contact Person: Sarah Brown/Abhijit Diwan</w:t>
              <w:br/>
              <w:t>SEBI Registration Number: INM000011179</w:t>
            </w:r>
          </w:p>
        </w:tc>
        <w:tc>
          <w:tcPr>
            <w:tcW w:type="dxa" w:w="2160"/>
            <w:gridSpan w:val="2"/>
          </w:tcPr>
          <w:p>
            <w:r>
              <w:t>Meridian Auto Components Limited</w:t>
              <w:br/>
              <w:t>(Lighthouse Foods Private Limited)</w:t>
              <w:br/>
              <w:t>9 Willow Court, Fairview, CA 90210), India</w:t>
              <w:br/>
              <w:t>Tel: +91 555000007</w:t>
              <w:br/>
              <w:t>E-mail: amit.kumar@example.com</w:t>
              <w:br/>
              <w:t>Website: www.in.mpms.mufg.com</w:t>
              <w:br/>
              <w:t>Investor grievance e-mail: amit.kumar@example.com</w:t>
              <w:br/>
              <w:t>Contact Person: Shanti Gopalkrishnan</w:t>
              <w:br/>
              <w:t>SEBI Registration Number: INR000004058</w:t>
            </w:r>
          </w:p>
        </w:tc>
      </w:tr>
      <w:tr>
        <w:tc>
          <w:tcPr>
            <w:tcW w:type="dxa" w:w="8640"/>
            <w:gridSpan w:val="8"/>
          </w:tcPr>
          <w:p>
            <w:r>
              <w:t>BID/ OFFER PERIOD</w:t>
            </w:r>
          </w:p>
        </w:tc>
      </w:tr>
      <w:tr>
        <w:tc>
          <w:tcPr>
            <w:tcW w:type="dxa" w:w="1080"/>
          </w:tcPr>
          <w:p>
            <w:r>
              <w:t>ANCHOR INVESTOR BIDDING DATE(1)</w:t>
            </w:r>
          </w:p>
        </w:tc>
        <w:tc>
          <w:tcPr>
            <w:tcW w:type="dxa" w:w="2160"/>
            <w:gridSpan w:val="2"/>
          </w:tcPr>
          <w:p>
            <w:r>
              <w:t>Monday, December 15,</w:t>
              <w:br/>
              <w:t>2025</w:t>
            </w:r>
          </w:p>
        </w:tc>
        <w:tc>
          <w:tcPr>
            <w:tcW w:type="dxa" w:w="1080"/>
          </w:tcPr>
          <w:p>
            <w:r>
              <w:t>BID/OFFER OPENS ON</w:t>
            </w:r>
          </w:p>
        </w:tc>
        <w:tc>
          <w:tcPr>
            <w:tcW w:type="dxa" w:w="1080"/>
          </w:tcPr>
          <w:p>
            <w:r>
              <w:t>Tuesday, December 16,</w:t>
              <w:br/>
              <w:t>2025</w:t>
            </w:r>
          </w:p>
        </w:tc>
        <w:tc>
          <w:tcPr>
            <w:tcW w:type="dxa" w:w="2160"/>
            <w:gridSpan w:val="2"/>
          </w:tcPr>
          <w:p>
            <w:r>
              <w:t>BID/OFFER CLOSES ON(2)</w:t>
            </w:r>
          </w:p>
        </w:tc>
        <w:tc>
          <w:tcPr>
            <w:tcW w:type="dxa" w:w="1080"/>
          </w:tcPr>
          <w:p>
            <w:r>
              <w:t>Thursday, December 18, 2025</w:t>
            </w:r>
          </w:p>
        </w:tc>
      </w:tr>
    </w:tbl>
    <w:p/>
    <w:p>
      <w:r>
        <w:t>(1) Our Company, in consultation with the Book Running Lead Managers, may consider participation by Anchor Investors in accordance with the SEBI ICDR Regulations.</w:t>
      </w:r>
    </w:p>
    <w:p>
      <w:r>
        <w:t>(2) The UPI mandate end time and date shall be at 5:00 p.m. on Bid/Offer Closing Day.</w:t>
      </w:r>
    </w:p>
    <w:p/>
    <w:p>
      <w:r>
        <w:t>SECTION I - GENERAL</w:t>
        <w:tab/>
        <w:t>2</w:t>
      </w:r>
    </w:p>
    <w:p>
      <w:r>
        <w:t>DEFINITIONS AND ABBREVIATIONS</w:t>
        <w:tab/>
        <w:t>2</w:t>
      </w:r>
    </w:p>
    <w:p>
      <w:r>
        <w:t>CERTAIN CONVENTIONS, USE OF FINANCIAL INFORMATION AND MARKET DATA AND CURRENCY OF PRESENTATION</w:t>
        <w:tab/>
        <w:t>15</w:t>
      </w:r>
    </w:p>
    <w:p>
      <w:r>
        <w:t>FORWARD-LOOKING STATEMENTS</w:t>
        <w:tab/>
        <w:t>18</w:t>
      </w:r>
    </w:p>
    <w:p>
      <w:r>
        <w:t>SUMMARY OF THE OFFER DOCUMENT</w:t>
        <w:tab/>
        <w:t>20</w:t>
      </w:r>
    </w:p>
    <w:p>
      <w:r>
        <w:t>SECTION II: RISK FACTORS</w:t>
        <w:tab/>
        <w:t>28</w:t>
      </w:r>
    </w:p>
    <w:p>
      <w:r>
        <w:t>SECTION III – INTRODUCTION</w:t>
        <w:tab/>
        <w:t>67</w:t>
      </w:r>
    </w:p>
    <w:p>
      <w:r>
        <w:t>THE OFFER</w:t>
        <w:tab/>
        <w:t>67</w:t>
      </w:r>
    </w:p>
    <w:p>
      <w:r>
        <w:t>SUMMARY FINANCIAL STATEMENTS</w:t>
        <w:tab/>
        <w:t>69</w:t>
      </w:r>
    </w:p>
    <w:p>
      <w:r>
        <w:t>GENERAL INFORMATION</w:t>
        <w:tab/>
        <w:t>74</w:t>
      </w:r>
    </w:p>
    <w:p>
      <w:r>
        <w:t>CAPITAL STRUCTURE</w:t>
        <w:tab/>
        <w:t>84</w:t>
      </w:r>
    </w:p>
    <w:p/>
    <w:p>
      <w:pPr>
        <w:pStyle w:val="Heading2"/>
      </w:pPr>
      <w:r>
        <w:t>DEFINITIONS AND ABBREVIATIONS</w:t>
      </w:r>
    </w:p>
    <w:p>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r>
        <w:t>34 Pinehill Street, Madison, WI 5370156 Elmwood Drive, Salem, OR 97301.</w:t>
      </w:r>
    </w:p>
    <w:p>
      <w:r>
        <w:t>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r>
        <w:t>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3"/>
      </w:pPr>
      <w:r>
        <w:t>General Terms</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Our Company/ the Company</w:t>
            </w:r>
          </w:p>
        </w:tc>
        <w:tc>
          <w:tcPr>
            <w:tcW w:type="dxa" w:w="4320"/>
          </w:tcPr>
          <w:p>
            <w:r>
              <w:t>67 Riverside Lane, Greenville, NC 27834</w:t>
            </w:r>
          </w:p>
        </w:tc>
      </w:tr>
      <w:tr>
        <w:tc>
          <w:tcPr>
            <w:tcW w:type="dxa" w:w="4320"/>
          </w:tcPr>
          <w:p>
            <w:r>
              <w:t>We/ us/ our</w:t>
            </w:r>
          </w:p>
        </w:tc>
        <w:tc>
          <w:tcPr>
            <w:tcW w:type="dxa" w:w="4320"/>
          </w:tcPr>
          <w:p>
            <w:r>
              <w:t>Unless context otherwise indicates or implies, refers to our Company</w:t>
            </w:r>
          </w:p>
        </w:tc>
      </w:tr>
    </w:tbl>
    <w:p>
      <w:pPr>
        <w:pStyle w:val="BodyText"/>
      </w:pPr>
    </w:p>
    <w:p>
      <w:pPr>
        <w:pStyle w:val="BodyText"/>
      </w:pPr>
    </w:p>
    <w:p>
      <w:pPr>
        <w:pStyle w:val="Heading3"/>
      </w:pPr>
      <w:r>
        <w:t>Company Related Terms</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AoA/Articles of Association or Articles</w:t>
            </w:r>
          </w:p>
        </w:tc>
        <w:tc>
          <w:tcPr>
            <w:tcW w:type="dxa" w:w="4320"/>
          </w:tcPr>
          <w:p>
            <w:r>
              <w:t>The articles of association of our Company, as amended from time to time</w:t>
            </w:r>
          </w:p>
        </w:tc>
      </w:tr>
      <w:tr>
        <w:tc>
          <w:tcPr>
            <w:tcW w:type="dxa" w:w="4320"/>
          </w:tcPr>
          <w:p>
            <w:r>
              <w:t>Audit Committee</w:t>
            </w:r>
          </w:p>
        </w:tc>
        <w:tc>
          <w:tcPr>
            <w:tcW w:type="dxa" w:w="4320"/>
          </w:tcPr>
          <w:p>
            <w:r>
              <w:t>Audit committee of our Board, as disclosed in “Our Management – Corporate Governance – Committees of our Board” on page 257</w:t>
            </w:r>
          </w:p>
        </w:tc>
      </w:tr>
      <w:tr>
        <w:tc>
          <w:tcPr>
            <w:tcW w:type="dxa" w:w="4320"/>
          </w:tcPr>
          <w:p>
            <w:r>
              <w:t>Auditors/ Statutory Auditors</w:t>
            </w:r>
          </w:p>
        </w:tc>
        <w:tc>
          <w:tcPr>
            <w:tcW w:type="dxa" w:w="4320"/>
          </w:tcPr>
          <w:p>
            <w:r>
              <w:t>The current statutory auditors of our Company, being Kirtane &amp; Horizon Chemicals Limited, Chartered Accountants</w:t>
            </w:r>
          </w:p>
        </w:tc>
      </w:tr>
      <w:tr>
        <w:tc>
          <w:tcPr>
            <w:tcW w:type="dxa" w:w="4320"/>
          </w:tcPr>
          <w:p>
            <w:r>
              <w:t>Board/ Board of Directors</w:t>
            </w:r>
          </w:p>
        </w:tc>
        <w:tc>
          <w:tcPr>
            <w:tcW w:type="dxa" w:w="4320"/>
          </w:tcPr>
          <w:p>
            <w:r>
              <w:t>The board of directors of our Company. For further details, see “Our Management – Board of Directors” on page 250</w:t>
            </w:r>
          </w:p>
        </w:tc>
      </w:tr>
      <w:tr>
        <w:tc>
          <w:tcPr>
            <w:tcW w:type="dxa" w:w="4320"/>
          </w:tcPr>
          <w:p>
            <w:r>
              <w:t>Bonus Issue</w:t>
            </w:r>
          </w:p>
        </w:tc>
        <w:tc>
          <w:tcPr>
            <w:tcW w:type="dxa" w:w="4320"/>
          </w:tcPr>
          <w:p>
            <w:r>
              <w:t>Bonus issue undertaken on February 21, 2025, in the ratio of four Equity Shares of face value of</w:t>
              <w:br/>
              <w:t>₹5 for every one Equity Share of face value of ₹5 held by our Shareholders as on February 10, 2025. For further details, please see “Capital Structure – Equity Share capital history of our Company” on page 85</w:t>
            </w:r>
          </w:p>
        </w:tc>
      </w:tr>
      <w:tr>
        <w:tc>
          <w:tcPr>
            <w:tcW w:type="dxa" w:w="4320"/>
          </w:tcPr>
          <w:p>
            <w:r>
              <w:t>CARE Report</w:t>
            </w:r>
          </w:p>
        </w:tc>
        <w:tc>
          <w:tcPr>
            <w:tcW w:type="dxa" w:w="4320"/>
          </w:tcPr>
          <w:p>
            <w:r>
              <w:t>Report titled “Industry Research Report on Magnet Winding Wires Market in India” dated November 26, 2025, prepared and issued by CARE Analytics and Pinnacle Steel Limited which has been commissioned by and paid for by our Company pursuant to an engagement letter dated December 2, 2024 entered into with CARE Analytics and Pinnacle Steel Limited, exclusively for the purposes of the Offer. The report will be available on the website of our Company at</w:t>
              <w:br/>
              <w:t>https://kshinternational.com/investor-relations/industry-report/ from the date of this Red Herring Prospectus until the Bid/Offer Closing Date</w:t>
            </w:r>
          </w:p>
        </w:tc>
      </w:tr>
      <w:tr>
        <w:tc>
          <w:tcPr>
            <w:tcW w:type="dxa" w:w="4320"/>
          </w:tcPr>
          <w:p>
            <w:r>
              <w:t>Chairman and Executive Director</w:t>
            </w:r>
          </w:p>
        </w:tc>
        <w:tc>
          <w:tcPr>
            <w:tcW w:type="dxa" w:w="4320"/>
          </w:tcPr>
          <w:p>
            <w:r>
              <w:t>The chairman and executive director of our Company, being Emily Davis. For further details, see “Our Management – Board of Directors” on page 250</w:t>
            </w:r>
          </w:p>
        </w:tc>
      </w:tr>
      <w:tr>
        <w:tc>
          <w:tcPr>
            <w:tcW w:type="dxa" w:w="4320"/>
          </w:tcPr>
          <w:p>
            <w:r>
              <w:t>Chief Executive Officer/ CEO</w:t>
            </w:r>
          </w:p>
        </w:tc>
        <w:tc>
          <w:tcPr>
            <w:tcW w:type="dxa" w:w="4320"/>
          </w:tcPr>
          <w:p>
            <w:r>
              <w:t>The chief executive officer of our Company, being Sandesh Bhagwat. For further details, see “Our Management – Key Managerial Personnel and Senior Management” on page 266</w:t>
            </w:r>
          </w:p>
        </w:tc>
      </w:tr>
      <w:tr>
        <w:tc>
          <w:tcPr>
            <w:tcW w:type="dxa" w:w="4320"/>
          </w:tcPr>
          <w:p>
            <w:r>
              <w:t>Chief Financial Officer/ CFO</w:t>
            </w:r>
          </w:p>
        </w:tc>
        <w:tc>
          <w:tcPr>
            <w:tcW w:type="dxa" w:w="4320"/>
          </w:tcPr>
          <w:p>
            <w:r>
              <w:t>The chief financial officer of our Company, being Amod Joshi. For further details, see “Our Management – Key Managerial Personnel and Senior Management” on page 266</w:t>
            </w:r>
          </w:p>
        </w:tc>
      </w:tr>
      <w:tr>
        <w:tc>
          <w:tcPr>
            <w:tcW w:type="dxa" w:w="4320"/>
          </w:tcPr>
          <w:p>
            <w:r>
              <w:t>Company</w:t>
              <w:tab/>
              <w:t>Secretary/</w:t>
              <w:tab/>
              <w:t>CS</w:t>
              <w:tab/>
              <w:t>and Compliance Officer</w:t>
            </w:r>
          </w:p>
        </w:tc>
        <w:tc>
          <w:tcPr>
            <w:tcW w:type="dxa" w:w="4320"/>
          </w:tcPr>
          <w:p>
            <w:r>
              <w:t>The company secretary and compliance officer of our Company, being John Doe. For further details, see “General Information” and “Our Management – Key Managerial Personnel and Senior Management” on pages 74 and 266, respectively.</w:t>
            </w:r>
          </w:p>
        </w:tc>
      </w:tr>
    </w:tbl>
    <w:p>
      <w:pPr>
        <w:pStyle w:val="BodyText"/>
      </w:pPr>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Corporate Office</w:t>
            </w:r>
          </w:p>
        </w:tc>
        <w:tc>
          <w:tcPr>
            <w:tcW w:type="dxa" w:w="4320"/>
          </w:tcPr>
          <w:p>
            <w:r>
              <w:t>18 Hilltop Avenue, Bristol, TN 37620</w:t>
            </w:r>
          </w:p>
        </w:tc>
      </w:tr>
      <w:tr>
        <w:tc>
          <w:tcPr>
            <w:tcW w:type="dxa" w:w="4320"/>
          </w:tcPr>
          <w:p>
            <w:r>
              <w:t>Corporate Promoter</w:t>
            </w:r>
          </w:p>
        </w:tc>
        <w:tc>
          <w:tcPr>
            <w:tcW w:type="dxa" w:w="4320"/>
          </w:tcPr>
          <w:p>
            <w:r>
              <w:t>Alpha Ventures Limited</w:t>
            </w:r>
          </w:p>
        </w:tc>
      </w:tr>
      <w:tr>
        <w:tc>
          <w:tcPr>
            <w:tcW w:type="dxa" w:w="4320"/>
          </w:tcPr>
          <w:p>
            <w:r>
              <w:t>CSR Committee/ Corporate Social Responsibility Committee</w:t>
            </w:r>
          </w:p>
        </w:tc>
        <w:tc>
          <w:tcPr>
            <w:tcW w:type="dxa" w:w="4320"/>
          </w:tcPr>
          <w:p>
            <w:r>
              <w:t>The corporate social responsibility committee of our Board, as disclosed in “Our Management – Corporate Governance – Committees of our Board” on page 257</w:t>
            </w:r>
          </w:p>
        </w:tc>
      </w:tr>
      <w:tr>
        <w:tc>
          <w:tcPr>
            <w:tcW w:type="dxa" w:w="4320"/>
          </w:tcPr>
          <w:p>
            <w:r>
              <w:t>Director(s)</w:t>
            </w:r>
          </w:p>
        </w:tc>
        <w:tc>
          <w:tcPr>
            <w:tcW w:type="dxa" w:w="4320"/>
          </w:tcPr>
          <w:p>
            <w:r>
              <w:t>The director(s) on our Board. For further details, see “Our Management – Board of Directors” on page 250</w:t>
            </w:r>
          </w:p>
        </w:tc>
      </w:tr>
      <w:tr>
        <w:tc>
          <w:tcPr>
            <w:tcW w:type="dxa" w:w="4320"/>
          </w:tcPr>
          <w:p>
            <w:r>
              <w:t>Equity Shares</w:t>
            </w:r>
          </w:p>
        </w:tc>
        <w:tc>
          <w:tcPr>
            <w:tcW w:type="dxa" w:w="4320"/>
          </w:tcPr>
          <w:p>
            <w:r>
              <w:t>The equity shares of our Company of face value of ₹5 each, unless otherwise stated</w:t>
            </w:r>
          </w:p>
        </w:tc>
      </w:tr>
      <w:tr>
        <w:tc>
          <w:tcPr>
            <w:tcW w:type="dxa" w:w="4320"/>
          </w:tcPr>
          <w:p>
            <w:r>
              <w:t>Executive Director(s)</w:t>
            </w:r>
          </w:p>
        </w:tc>
        <w:tc>
          <w:tcPr>
            <w:tcW w:type="dxa" w:w="4320"/>
          </w:tcPr>
          <w:p>
            <w:r>
              <w:t>Executive director(s) on our Board. For further details, see “Our Management – Board of Directors” on page 250</w:t>
            </w:r>
          </w:p>
        </w:tc>
      </w:tr>
      <w:tr>
        <w:tc>
          <w:tcPr>
            <w:tcW w:type="dxa" w:w="4320"/>
          </w:tcPr>
          <w:p>
            <w:r>
              <w:t>ESOP 2025</w:t>
            </w:r>
          </w:p>
        </w:tc>
        <w:tc>
          <w:tcPr>
            <w:tcW w:type="dxa" w:w="4320"/>
          </w:tcPr>
          <w:p>
            <w:r>
              <w:t>The employee stock option plan of our Company titled, ‘KSH Employee Stock Option Scheme 2025’ approved by our Board and Shareholders each in their meeting May 6, 2025</w:t>
            </w:r>
          </w:p>
        </w:tc>
      </w:tr>
      <w:tr>
        <w:tc>
          <w:tcPr>
            <w:tcW w:type="dxa" w:w="4320"/>
          </w:tcPr>
          <w:p>
            <w:r>
              <w:t>Family Branch(es)</w:t>
            </w:r>
          </w:p>
        </w:tc>
        <w:tc>
          <w:tcPr>
            <w:tcW w:type="dxa" w:w="4320"/>
          </w:tcPr>
          <w:p>
            <w:r>
              <w:t>Parents Branch, Rajesh Branch, Sangeeta Branch, Rakhi Branch and Rohit Branch</w:t>
            </w:r>
          </w:p>
        </w:tc>
      </w:tr>
      <w:tr>
        <w:tc>
          <w:tcPr>
            <w:tcW w:type="dxa" w:w="4320"/>
          </w:tcPr>
          <w:p>
            <w:r>
              <w:t>Group Companies</w:t>
            </w:r>
          </w:p>
        </w:tc>
        <w:tc>
          <w:tcPr>
            <w:tcW w:type="dxa" w:w="4320"/>
          </w:tcPr>
          <w:p>
            <w:r>
              <w:t>The companies identified as ‘group companies’ in accordance with Regulation 2(1)(t) of the SEBI ICDR Regulations and the Materiality Policy. For further details, see “Our Group Companies” on page 396</w:t>
            </w:r>
          </w:p>
        </w:tc>
      </w:tr>
      <w:tr>
        <w:tc>
          <w:tcPr>
            <w:tcW w:type="dxa" w:w="4320"/>
          </w:tcPr>
          <w:p>
            <w:r>
              <w:t>Group Entities</w:t>
            </w:r>
          </w:p>
        </w:tc>
        <w:tc>
          <w:tcPr>
            <w:tcW w:type="dxa" w:w="4320"/>
          </w:tcPr>
          <w:p>
            <w:r>
              <w:t>Entities, namely, Lighthouse Foods Private Limited, Kestrel Finance Limited, KSH Infra Park 5 Junction Retail Limited, Ironclad Engineering Pvt. Ltd., Horizon Chemicals Limited, Kushal Motors and Granite Logistics LLP, Falcon Capital Limited, Evergreen Textiles Private Limited, Delta Fabrication Limited, Crestline Holdings LLP, Bluewave Industries Pvt. Ltd., Alpha Ventures Limited, Alpha Ventures Limited, Trident Power Limited, Summit Realty LLP, Riverside Exports Limited, and Quantum Softech Private Limited</w:t>
            </w:r>
          </w:p>
        </w:tc>
      </w:tr>
      <w:tr>
        <w:tc>
          <w:tcPr>
            <w:tcW w:type="dxa" w:w="4320"/>
          </w:tcPr>
          <w:p>
            <w:r>
              <w:t>Independent Director(s)</w:t>
            </w:r>
          </w:p>
        </w:tc>
        <w:tc>
          <w:tcPr>
            <w:tcW w:type="dxa" w:w="4320"/>
          </w:tcPr>
          <w:p>
            <w:r>
              <w:t>Non-executive and independent director(s) on our Board. For further details, see “Our Management – Board of Directors” on page 250</w:t>
            </w:r>
          </w:p>
        </w:tc>
      </w:tr>
      <w:tr>
        <w:tc>
          <w:tcPr>
            <w:tcW w:type="dxa" w:w="4320"/>
          </w:tcPr>
          <w:p>
            <w:r>
              <w:t>Independent Chartered Engineer</w:t>
            </w:r>
          </w:p>
        </w:tc>
        <w:tc>
          <w:tcPr>
            <w:tcW w:type="dxa" w:w="4320"/>
          </w:tcPr>
          <w:p>
            <w:r>
              <w:t>The independent chartered engineer appointed by our Company, namely, Lalit Muljibhai Sarvaiya bearing registration number M-140388</w:t>
            </w:r>
          </w:p>
        </w:tc>
      </w:tr>
      <w:tr>
        <w:tc>
          <w:tcPr>
            <w:tcW w:type="dxa" w:w="4320"/>
          </w:tcPr>
          <w:p>
            <w:r>
              <w:t>Industry Data Provider/ CareEdge Research</w:t>
            </w:r>
          </w:p>
        </w:tc>
        <w:tc>
          <w:tcPr>
            <w:tcW w:type="dxa" w:w="4320"/>
          </w:tcPr>
          <w:p>
            <w:r>
              <w:t>The industry data provider being, CARE Analytics and Pinnacle Steel Limited</w:t>
            </w:r>
          </w:p>
        </w:tc>
      </w:tr>
      <w:tr>
        <w:tc>
          <w:tcPr>
            <w:tcW w:type="dxa" w:w="4320"/>
          </w:tcPr>
          <w:p>
            <w:r>
              <w:t>IPO Committee</w:t>
            </w:r>
          </w:p>
        </w:tc>
        <w:tc>
          <w:tcPr>
            <w:tcW w:type="dxa" w:w="4320"/>
          </w:tcPr>
          <w:p>
            <w:r>
              <w:t>The IPO committee of our Board constituted to facilitate the process of the Offer</w:t>
            </w:r>
          </w:p>
        </w:tc>
      </w:tr>
      <w:tr>
        <w:tc>
          <w:tcPr>
            <w:tcW w:type="dxa" w:w="4320"/>
          </w:tcPr>
          <w:p>
            <w:r>
              <w:t>Joint Managing Director</w:t>
            </w:r>
          </w:p>
        </w:tc>
        <w:tc>
          <w:tcPr>
            <w:tcW w:type="dxa" w:w="4320"/>
          </w:tcPr>
          <w:p>
            <w:r>
              <w:t>The joint managing director of our Company being, Jane Smith. For further details, see “Our Management” on page 250</w:t>
            </w:r>
          </w:p>
        </w:tc>
      </w:tr>
      <w:tr>
        <w:tc>
          <w:tcPr>
            <w:tcW w:type="dxa" w:w="4320"/>
          </w:tcPr>
          <w:p>
            <w:r>
              <w:t>KMP/ Key Managerial Personnel</w:t>
            </w:r>
          </w:p>
        </w:tc>
        <w:tc>
          <w:tcPr>
            <w:tcW w:type="dxa" w:w="4320"/>
          </w:tcPr>
          <w:p>
            <w:r>
              <w:t>Key managerial personnel of our Company in terms of Regulation 2(1)(bb) of the SEBI ICDR Regulations and Section 2(51) of the Companies Act, 2013 and as further disclosed in “Our Management – Key Managerial Personnel and Senior Management” on page 266</w:t>
            </w:r>
          </w:p>
        </w:tc>
      </w:tr>
      <w:tr>
        <w:tc>
          <w:tcPr>
            <w:tcW w:type="dxa" w:w="4320"/>
          </w:tcPr>
          <w:p>
            <w:r>
              <w:t>Managing Director</w:t>
            </w:r>
          </w:p>
        </w:tc>
        <w:tc>
          <w:tcPr>
            <w:tcW w:type="dxa" w:w="4320"/>
          </w:tcPr>
          <w:p>
            <w:r>
              <w:t>The managing director of our Company, namely Priya Sharma. For further information, see “Our Management – Board of Directors” on page 250</w:t>
            </w:r>
          </w:p>
        </w:tc>
      </w:tr>
      <w:tr>
        <w:tc>
          <w:tcPr>
            <w:tcW w:type="dxa" w:w="4320"/>
          </w:tcPr>
          <w:p>
            <w:r>
              <w:t>Materiality Policy</w:t>
            </w:r>
          </w:p>
        </w:tc>
        <w:tc>
          <w:tcPr>
            <w:tcW w:type="dxa" w:w="4320"/>
          </w:tcPr>
          <w:p>
            <w:r>
              <w:t>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w:t>
              <w:br/>
              <w:t>requirements under the SEBI ICDR Regulations, for the purposes of disclosure in the Draft Red Herring Prospectus, this Red Herring Prospectus and the Prospectus</w:t>
            </w:r>
          </w:p>
        </w:tc>
      </w:tr>
      <w:tr>
        <w:tc>
          <w:tcPr>
            <w:tcW w:type="dxa" w:w="4320"/>
          </w:tcPr>
          <w:p>
            <w:r>
              <w:t>MoA/ Memorandum of Association</w:t>
            </w:r>
          </w:p>
        </w:tc>
        <w:tc>
          <w:tcPr>
            <w:tcW w:type="dxa" w:w="4320"/>
          </w:tcPr>
          <w:p>
            <w:r>
              <w:t>The memorandum of association of our Company, as amended</w:t>
            </w:r>
          </w:p>
        </w:tc>
      </w:tr>
      <w:tr>
        <w:tc>
          <w:tcPr>
            <w:tcW w:type="dxa" w:w="4320"/>
          </w:tcPr>
          <w:p>
            <w:r>
              <w:t>Nomination</w:t>
              <w:tab/>
              <w:t>and</w:t>
              <w:tab/>
              <w:t>Remuneration Committee</w:t>
            </w:r>
          </w:p>
        </w:tc>
        <w:tc>
          <w:tcPr>
            <w:tcW w:type="dxa" w:w="4320"/>
          </w:tcPr>
          <w:p>
            <w:r>
              <w:t>The nomination and remuneration committee of our Board, as disclosed in “Our Management – Committees of our Board” on page 257</w:t>
            </w:r>
          </w:p>
        </w:tc>
      </w:tr>
      <w:tr>
        <w:tc>
          <w:tcPr>
            <w:tcW w:type="dxa" w:w="4320"/>
          </w:tcPr>
          <w:p>
            <w:r>
              <w:t>Non-Executive</w:t>
              <w:tab/>
              <w:t>Non-Independent</w:t>
              <w:br/>
              <w:t>Director(s)</w:t>
            </w:r>
          </w:p>
        </w:tc>
        <w:tc>
          <w:tcPr>
            <w:tcW w:type="dxa" w:w="4320"/>
          </w:tcPr>
          <w:p>
            <w:r>
              <w:t>The non-executive non-independent Directors on our Board, as disclosed in “Our Management –</w:t>
              <w:br/>
              <w:t>Board of Directors” on page 250</w:t>
            </w:r>
          </w:p>
        </w:tc>
      </w:tr>
      <w:tr>
        <w:tc>
          <w:tcPr>
            <w:tcW w:type="dxa" w:w="4320"/>
          </w:tcPr>
          <w:p>
            <w:r>
              <w:t>Parents Branch</w:t>
            </w:r>
          </w:p>
        </w:tc>
        <w:tc>
          <w:tcPr>
            <w:tcW w:type="dxa" w:w="4320"/>
          </w:tcPr>
          <w:p>
            <w:r>
              <w:t>Emily Davis, Michael Chen, Delta Fabrication Limited and Granite Logistics LLP</w:t>
            </w:r>
          </w:p>
        </w:tc>
      </w:tr>
      <w:tr>
        <w:tc>
          <w:tcPr>
            <w:tcW w:type="dxa" w:w="4320"/>
          </w:tcPr>
          <w:p>
            <w:r>
              <w:t>Promoter Group</w:t>
            </w:r>
          </w:p>
        </w:tc>
        <w:tc>
          <w:tcPr>
            <w:tcW w:type="dxa" w:w="4320"/>
          </w:tcPr>
          <w:p>
            <w:r>
              <w:t>Persons and entities, excluding our Promoters constituting the promoter group of our Company in terms of Regulation 2(1)(pp) of the SEBI ICDR Regulations, as disclosed in “Our Promoters and Promoter Group” on page 269</w:t>
            </w:r>
          </w:p>
        </w:tc>
      </w:tr>
      <w:tr>
        <w:tc>
          <w:tcPr>
            <w:tcW w:type="dxa" w:w="4320"/>
          </w:tcPr>
          <w:p>
            <w:r>
              <w:t>Promoters</w:t>
            </w:r>
          </w:p>
        </w:tc>
        <w:tc>
          <w:tcPr>
            <w:tcW w:type="dxa" w:w="4320"/>
          </w:tcPr>
          <w:p>
            <w:r>
              <w:t>Emily Davis, Michael Chen, Priya Sharma, Jane Smith and Peter Parker, Granite Logistics LLP, Falcon Capital Limited, Evergreen Textiles Private Limited, Broad</w:t>
              <w:br/>
              <w:t>Family Trust, Crestline Holdings LLP, Bluewave Industries Pvt. Ltd. and Alpha Ventures Limited</w:t>
            </w:r>
          </w:p>
        </w:tc>
      </w:tr>
      <w:tr>
        <w:tc>
          <w:tcPr>
            <w:tcW w:type="dxa" w:w="4320"/>
          </w:tcPr>
          <w:p>
            <w:r>
              <w:t>Promoter Selling Shareholders</w:t>
            </w:r>
          </w:p>
        </w:tc>
        <w:tc>
          <w:tcPr>
            <w:tcW w:type="dxa" w:w="4320"/>
          </w:tcPr>
          <w:p>
            <w:r>
              <w:t>Emily Davis, Michael Chen, Priya Sharma and Jane Smith</w:t>
            </w:r>
          </w:p>
        </w:tc>
      </w:tr>
      <w:tr>
        <w:tc>
          <w:tcPr>
            <w:tcW w:type="dxa" w:w="4320"/>
          </w:tcPr>
          <w:p>
            <w:r>
              <w:t>Promoter Trusts</w:t>
            </w:r>
          </w:p>
        </w:tc>
        <w:tc>
          <w:tcPr>
            <w:tcW w:type="dxa" w:w="4320"/>
          </w:tcPr>
          <w:p>
            <w:r>
              <w:t>Granite Logistics LLP, Falcon Capital Limited, Evergreen Textiles Private Limited, Delta Fabrication Limited, Crestline Holdings LLP, and Bluewave Industries Pvt. Ltd.</w:t>
            </w:r>
          </w:p>
        </w:tc>
      </w:tr>
      <w:tr>
        <w:tc>
          <w:tcPr>
            <w:tcW w:type="dxa" w:w="4320"/>
          </w:tcPr>
          <w:p>
            <w:r>
              <w:t>Rajesh Branch</w:t>
            </w:r>
          </w:p>
        </w:tc>
        <w:tc>
          <w:tcPr>
            <w:tcW w:type="dxa" w:w="4320"/>
          </w:tcPr>
          <w:p>
            <w:r>
              <w:t>Priya Sharma, his spouse, his children, lineal descendants and Falcon Capital Limited</w:t>
            </w:r>
          </w:p>
        </w:tc>
      </w:tr>
      <w:tr>
        <w:tc>
          <w:tcPr>
            <w:tcW w:type="dxa" w:w="4320"/>
          </w:tcPr>
          <w:p>
            <w:r>
              <w:t>Rakhi Branch</w:t>
            </w:r>
          </w:p>
        </w:tc>
        <w:tc>
          <w:tcPr>
            <w:tcW w:type="dxa" w:w="4320"/>
          </w:tcPr>
          <w:p>
            <w:r>
              <w:t>Peter Parker, her spouse (if any), her children, lineal descendants and Crestline Holdings LLP</w:t>
            </w:r>
          </w:p>
        </w:tc>
      </w:tr>
      <w:tr>
        <w:tc>
          <w:tcPr>
            <w:tcW w:type="dxa" w:w="4320"/>
          </w:tcPr>
          <w:p>
            <w:r>
              <w:t>Registered Office</w:t>
            </w:r>
          </w:p>
        </w:tc>
        <w:tc>
          <w:tcPr>
            <w:tcW w:type="dxa" w:w="4320"/>
          </w:tcPr>
          <w:p>
            <w:r>
              <w:t>89 Lakeside Road, Ashland, KY 41101</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Registrar of Companies/RoC</w:t>
            </w:r>
          </w:p>
        </w:tc>
        <w:tc>
          <w:tcPr>
            <w:tcW w:type="dxa" w:w="4320"/>
          </w:tcPr>
          <w:p>
            <w:r>
              <w:t>The Registrar of Companies, Maharashtra at Pune</w:t>
            </w:r>
          </w:p>
        </w:tc>
      </w:tr>
      <w:tr>
        <w:tc>
          <w:tcPr>
            <w:tcW w:type="dxa" w:w="4320"/>
          </w:tcPr>
          <w:p>
            <w:r>
              <w:t>Restated Financial Statements</w:t>
            </w:r>
          </w:p>
        </w:tc>
        <w:tc>
          <w:tcPr>
            <w:tcW w:type="dxa" w:w="4320"/>
          </w:tcPr>
          <w:p>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br/>
              <w:t>accounting principles generally accepted in India.</w:t>
            </w:r>
          </w:p>
        </w:tc>
      </w:tr>
      <w:tr>
        <w:tc>
          <w:tcPr>
            <w:tcW w:type="dxa" w:w="4320"/>
          </w:tcPr>
          <w:p>
            <w:r>
              <w:t>Risk Management Committee</w:t>
            </w:r>
          </w:p>
        </w:tc>
        <w:tc>
          <w:tcPr>
            <w:tcW w:type="dxa" w:w="4320"/>
          </w:tcPr>
          <w:p>
            <w:r>
              <w:t>The risk management committee of our Board, as disclosed in “Our Management – Corporate Governance - Committees of our Board” on page 257</w:t>
            </w:r>
          </w:p>
        </w:tc>
      </w:tr>
      <w:tr>
        <w:tc>
          <w:tcPr>
            <w:tcW w:type="dxa" w:w="4320"/>
          </w:tcPr>
          <w:p>
            <w:r>
              <w:t>Rohit Branch</w:t>
            </w:r>
          </w:p>
        </w:tc>
        <w:tc>
          <w:tcPr>
            <w:tcW w:type="dxa" w:w="4320"/>
          </w:tcPr>
          <w:p>
            <w:r>
              <w:t>Jane Smith, his spouse, his children, lineal descendants and Evergreen Textiles Private Limited</w:t>
            </w:r>
          </w:p>
        </w:tc>
      </w:tr>
      <w:tr>
        <w:tc>
          <w:tcPr>
            <w:tcW w:type="dxa" w:w="4320"/>
          </w:tcPr>
          <w:p>
            <w:r>
              <w:t>Sangeeta Branch</w:t>
            </w:r>
          </w:p>
        </w:tc>
        <w:tc>
          <w:tcPr>
            <w:tcW w:type="dxa" w:w="4320"/>
          </w:tcPr>
          <w:p>
            <w:r>
              <w:t>Sangeeta Ramprasad Rai, her spouse, her children, lineal descendants and Bluewave Industries Pvt. Ltd.</w:t>
            </w:r>
          </w:p>
        </w:tc>
      </w:tr>
      <w:tr>
        <w:tc>
          <w:tcPr>
            <w:tcW w:type="dxa" w:w="4320"/>
          </w:tcPr>
          <w:p>
            <w:r>
              <w:t>Split of Equity Shares</w:t>
            </w:r>
          </w:p>
        </w:tc>
        <w:tc>
          <w:tcPr>
            <w:tcW w:type="dxa" w:w="4320"/>
          </w:tcPr>
          <w:p>
            <w:r>
              <w:t>Pursuant to a resolution passed by our Board and Shareholders dated February 10, 2025 and February 11, 2025, respectively, our Company sub-divided the face value of its equity shares from</w:t>
              <w:br/>
              <w:t>₹100 per equity share to ₹5 per Equity Share. For further details, see “Summary of the Offer Document” and “Capital Structure – Notes to Capital Structure – Equity Share Capital History of our Company” on pages 20 and 85, respectively</w:t>
            </w:r>
          </w:p>
        </w:tc>
      </w:tr>
      <w:tr>
        <w:tc>
          <w:tcPr>
            <w:tcW w:type="dxa" w:w="4320"/>
          </w:tcPr>
          <w:p>
            <w:r>
              <w:t>Senior Management/ SM</w:t>
            </w:r>
          </w:p>
        </w:tc>
        <w:tc>
          <w:tcPr>
            <w:tcW w:type="dxa" w:w="4320"/>
          </w:tcPr>
          <w:p>
            <w:r>
              <w:t>Our senior management in terms of Regulation 2(1)(bbbb) of the SEBI ICDR Regulations and as disclosed in “Our Management – Key Managerial Personnel and Senior Management” on page 266</w:t>
            </w:r>
          </w:p>
        </w:tc>
      </w:tr>
      <w:tr>
        <w:tc>
          <w:tcPr>
            <w:tcW w:type="dxa" w:w="4320"/>
          </w:tcPr>
          <w:p>
            <w:r>
              <w:t>Shareholders</w:t>
            </w:r>
          </w:p>
        </w:tc>
        <w:tc>
          <w:tcPr>
            <w:tcW w:type="dxa" w:w="4320"/>
          </w:tcPr>
          <w:p>
            <w:r>
              <w:t>The holders of the Equity Shares from time to time</w:t>
            </w:r>
          </w:p>
        </w:tc>
      </w:tr>
      <w:tr>
        <w:tc>
          <w:tcPr>
            <w:tcW w:type="dxa" w:w="4320"/>
          </w:tcPr>
          <w:p>
            <w:r>
              <w:t>Stakeholders Relationship Committee</w:t>
            </w:r>
          </w:p>
        </w:tc>
        <w:tc>
          <w:tcPr>
            <w:tcW w:type="dxa" w:w="4320"/>
          </w:tcPr>
          <w:p>
            <w:r>
              <w:t>The stakeholders’ relationship committee of our Board, as disclosed in “Our Management – Corporate Governance – Committees of our Board” on page 257</w:t>
            </w:r>
          </w:p>
        </w:tc>
      </w:tr>
      <w:tr>
        <w:tc>
          <w:tcPr>
            <w:tcW w:type="dxa" w:w="4320"/>
          </w:tcPr>
          <w:p>
            <w:r>
              <w:t>Supa Facility</w:t>
            </w:r>
          </w:p>
        </w:tc>
        <w:tc>
          <w:tcPr>
            <w:tcW w:type="dxa" w:w="4320"/>
          </w:tcPr>
          <w:p>
            <w:r>
              <w:t>Our manufacturing facility located at Supa Ahilyanagar (formerly Ahmednagar) in Maharashtra</w:t>
            </w:r>
          </w:p>
        </w:tc>
      </w:tr>
      <w:tr>
        <w:tc>
          <w:tcPr>
            <w:tcW w:type="dxa" w:w="4320"/>
          </w:tcPr>
          <w:p>
            <w:r>
              <w:t>Unit 1</w:t>
            </w:r>
          </w:p>
        </w:tc>
        <w:tc>
          <w:tcPr>
            <w:tcW w:type="dxa" w:w="4320"/>
          </w:tcPr>
          <w:p>
            <w:r>
              <w:t>Our manufacturing facility located at Plot No.12 Maple Street, Springfield, IL 62701</w:t>
            </w:r>
          </w:p>
        </w:tc>
      </w:tr>
      <w:tr>
        <w:tc>
          <w:tcPr>
            <w:tcW w:type="dxa" w:w="4320"/>
          </w:tcPr>
          <w:p>
            <w:r>
              <w:t>Unit 2</w:t>
            </w:r>
          </w:p>
        </w:tc>
        <w:tc>
          <w:tcPr>
            <w:tcW w:type="dxa" w:w="4320"/>
          </w:tcPr>
          <w:p>
            <w:r>
              <w:t>45 Cedar Avenue, Franklin, TX 75001</w:t>
            </w:r>
          </w:p>
        </w:tc>
      </w:tr>
      <w:tr>
        <w:tc>
          <w:tcPr>
            <w:tcW w:type="dxa" w:w="4320"/>
          </w:tcPr>
          <w:p>
            <w:r>
              <w:t>Unit 3</w:t>
            </w:r>
          </w:p>
        </w:tc>
        <w:tc>
          <w:tcPr>
            <w:tcW w:type="dxa" w:w="4320"/>
          </w:tcPr>
          <w:p>
            <w:r>
              <w:t>Our manufacturing facility located at Plot No.78 Birch Lane, Georgetown, OH 45121</w:t>
            </w:r>
          </w:p>
        </w:tc>
      </w:tr>
      <w:tr>
        <w:tc>
          <w:tcPr>
            <w:tcW w:type="dxa" w:w="4320"/>
          </w:tcPr>
          <w:p>
            <w:r>
              <w:t>Whole-time Director</w:t>
            </w:r>
          </w:p>
        </w:tc>
        <w:tc>
          <w:tcPr>
            <w:tcW w:type="dxa" w:w="4320"/>
          </w:tcPr>
          <w:p>
            <w:r>
              <w:t>The whole-time director of our Company being, Peter Parker. For further information, see “Our Management – Board of Directors” on page 250</w:t>
            </w:r>
          </w:p>
        </w:tc>
      </w:tr>
    </w:tbl>
    <w:p/>
    <w:p>
      <w:pPr>
        <w:pStyle w:val="BodyText"/>
      </w:pPr>
    </w:p>
    <w:p>
      <w:pPr>
        <w:pStyle w:val="Heading3"/>
      </w:pPr>
      <w:r>
        <w:t>Offer Related Terms</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Abridged Prospectus</w:t>
            </w:r>
          </w:p>
        </w:tc>
        <w:tc>
          <w:tcPr>
            <w:tcW w:type="dxa" w:w="4320"/>
          </w:tcPr>
          <w:p>
            <w:r>
              <w:t>Abridged prospectus means a memorandum containing such salient features of a prospectus as may be specified by the SEBI in this behalf</w:t>
            </w:r>
          </w:p>
        </w:tc>
      </w:tr>
      <w:tr>
        <w:tc>
          <w:tcPr>
            <w:tcW w:type="dxa" w:w="4320"/>
          </w:tcPr>
          <w:p>
            <w:r>
              <w:t>Acknowledgement Slip</w:t>
            </w:r>
          </w:p>
        </w:tc>
        <w:tc>
          <w:tcPr>
            <w:tcW w:type="dxa" w:w="4320"/>
          </w:tcPr>
          <w:p>
            <w:r>
              <w:t>The slip or document issued by the relevant Designated Intermediary(ies) to a Bidder as proof of registration of the Bid cum Application Form</w:t>
            </w:r>
          </w:p>
        </w:tc>
      </w:tr>
      <w:tr>
        <w:tc>
          <w:tcPr>
            <w:tcW w:type="dxa" w:w="4320"/>
          </w:tcPr>
          <w:p>
            <w:r>
              <w:t>Allot/ Allotment/ Allotted</w:t>
            </w:r>
          </w:p>
        </w:tc>
        <w:tc>
          <w:tcPr>
            <w:tcW w:type="dxa" w:w="4320"/>
          </w:tcPr>
          <w:p>
            <w:r>
              <w:t>Unless the context otherwise requires, the allotment of the Equity Shares pursuant to the Fresh Issue and transfer of the Offered Shares by the Promoter Selling Shareholders pursuant to the</w:t>
              <w:br/>
              <w:t>Offer for Sale to successful Bidders</w:t>
            </w:r>
          </w:p>
        </w:tc>
      </w:tr>
      <w:tr>
        <w:tc>
          <w:tcPr>
            <w:tcW w:type="dxa" w:w="4320"/>
          </w:tcPr>
          <w:p>
            <w:r>
              <w:t>Allotment Advice</w:t>
            </w:r>
          </w:p>
        </w:tc>
        <w:tc>
          <w:tcPr>
            <w:tcW w:type="dxa" w:w="4320"/>
          </w:tcPr>
          <w:p>
            <w:r>
              <w:t>Note or advice or intimation of Allotment sent to the Bidders who have been or are to be Allotted the Equity Shares after the Basis of Allotment has been approved by the Designated Stock Exchange</w:t>
            </w:r>
          </w:p>
        </w:tc>
      </w:tr>
      <w:tr>
        <w:tc>
          <w:tcPr>
            <w:tcW w:type="dxa" w:w="4320"/>
          </w:tcPr>
          <w:p>
            <w:r>
              <w:t>Allottee</w:t>
            </w:r>
          </w:p>
        </w:tc>
        <w:tc>
          <w:tcPr>
            <w:tcW w:type="dxa" w:w="4320"/>
          </w:tcPr>
          <w:p>
            <w:r>
              <w:t>A successful Bidder to whom the Equity Shares are Allotted</w:t>
            </w:r>
          </w:p>
        </w:tc>
      </w:tr>
      <w:tr>
        <w:tc>
          <w:tcPr>
            <w:tcW w:type="dxa" w:w="4320"/>
          </w:tcPr>
          <w:p>
            <w:r>
              <w:t>Anchor Investor</w:t>
            </w:r>
          </w:p>
        </w:tc>
        <w:tc>
          <w:tcPr>
            <w:tcW w:type="dxa" w:w="4320"/>
          </w:tcPr>
          <w:p>
            <w:r>
              <w:t>A Qualified Institutional Buyer, applying under the Anchor Investor Portion in accordance with the SEBI ICDR Regulations and this Red Herring Prospectus, and who has Bid for an amount of at least ₹100 million</w:t>
            </w:r>
          </w:p>
        </w:tc>
      </w:tr>
      <w:tr>
        <w:tc>
          <w:tcPr>
            <w:tcW w:type="dxa" w:w="4320"/>
          </w:tcPr>
          <w:p>
            <w:r>
              <w:t>Anchor Investor Allocation Price</w:t>
            </w:r>
          </w:p>
        </w:tc>
        <w:tc>
          <w:tcPr>
            <w:tcW w:type="dxa" w:w="4320"/>
          </w:tcPr>
          <w:p>
            <w:r>
              <w:t>The price at which Equity Shares will be allocated to Anchor Investors according to the terms of this Red Herring Prospectus and the Prospectus, which will be decided by our Company in consultation with the BRLMs on the Anchor Investor Bid/Offer Date</w:t>
            </w:r>
          </w:p>
        </w:tc>
      </w:tr>
      <w:tr>
        <w:tc>
          <w:tcPr>
            <w:tcW w:type="dxa" w:w="4320"/>
          </w:tcPr>
          <w:p>
            <w:r>
              <w:t>Anchor Investor Application Form</w:t>
            </w:r>
          </w:p>
        </w:tc>
        <w:tc>
          <w:tcPr>
            <w:tcW w:type="dxa" w:w="4320"/>
          </w:tcPr>
          <w:p>
            <w:r>
              <w:t>The application form used by an Anchor Investor to make a Bid in the Anchor Investor Portion, and which will be considered as an application for Allotment in terms of this Red Herring Prospectus and the Prospectus</w:t>
            </w:r>
          </w:p>
        </w:tc>
      </w:tr>
      <w:tr>
        <w:tc>
          <w:tcPr>
            <w:tcW w:type="dxa" w:w="4320"/>
          </w:tcPr>
          <w:p>
            <w:r>
              <w:t>Anchor Investor Bidding Date</w:t>
            </w:r>
          </w:p>
        </w:tc>
        <w:tc>
          <w:tcPr>
            <w:tcW w:type="dxa" w:w="4320"/>
          </w:tcPr>
          <w:p>
            <w:r>
              <w:t>The date, one Working Day prior to the Bid/ Offer Opening Date, on which Bids by Anchor Investors shall be submitted, prior to and after which BRLMs will not accept any Bids from</w:t>
              <w:br/>
              <w:t>Anchor Investors, and allocation to Anchor Investors shall be completed</w:t>
            </w:r>
          </w:p>
        </w:tc>
      </w:tr>
    </w:tbl>
    <w:p>
      <w:pPr>
        <w:pStyle w:val="BodyText"/>
      </w:pPr>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Anchor Investor Offer Price</w:t>
            </w:r>
          </w:p>
        </w:tc>
        <w:tc>
          <w:tcPr>
            <w:tcW w:type="dxa" w:w="4320"/>
          </w:tcPr>
          <w:p>
            <w:r>
              <w:t>The final price at which the Equity Shares will be issued and Allotted to Anchor Investors in terms of this Red Herring Prospectus and the Prospectus, which price will be equal to or higher than the Offer Price but not higher than the Cap Price.</w:t>
              <w:br/>
              <w:br/>
              <w:t>The Anchor Investor Offer Price will be decided by our Company in consultation with the BRLMs</w:t>
            </w:r>
          </w:p>
        </w:tc>
      </w:tr>
      <w:tr>
        <w:tc>
          <w:tcPr>
            <w:tcW w:type="dxa" w:w="4320"/>
          </w:tcPr>
          <w:p>
            <w:r>
              <w:t>Anchor Investor Pay in-Date</w:t>
            </w:r>
          </w:p>
        </w:tc>
        <w:tc>
          <w:tcPr>
            <w:tcW w:type="dxa" w:w="4320"/>
          </w:tcPr>
          <w:p>
            <w:r>
              <w:t>With respect to Anchor Investor(s), it shall be the Anchor Investor Bidding Date, and in the event the Anchor Investor Allocation Price is lower than the Offer Price, not later than two Working Days after the Bid/Offer Closing Date</w:t>
            </w:r>
          </w:p>
        </w:tc>
      </w:tr>
      <w:tr>
        <w:tc>
          <w:tcPr>
            <w:tcW w:type="dxa" w:w="4320"/>
          </w:tcPr>
          <w:p>
            <w:r>
              <w:t>Anchor Investor Portion</w:t>
            </w:r>
          </w:p>
        </w:tc>
        <w:tc>
          <w:tcPr>
            <w:tcW w:type="dxa" w:w="4320"/>
          </w:tcPr>
          <w:p>
            <w: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w:t>
              <w:br/>
              <w:t>may be allocated to domestic Mutual Funds., in accordance with the SEBI ICDR Regulations</w:t>
            </w:r>
          </w:p>
        </w:tc>
      </w:tr>
      <w:tr>
        <w:tc>
          <w:tcPr>
            <w:tcW w:type="dxa" w:w="4320"/>
          </w:tcPr>
          <w:p>
            <w:r>
              <w:t>Application Supported by Blocked Amount/ ASBA</w:t>
            </w:r>
          </w:p>
        </w:tc>
        <w:tc>
          <w:tcPr>
            <w:tcW w:type="dxa" w:w="4320"/>
          </w:tcPr>
          <w:p>
            <w:r>
              <w:t>An application, whether physical or electronic, used by ASBA Bidders, to make a Bid and authorising an SCSB to block the Bid Amount in the relevant ASBA Account and will include applications made by UPI Bidders where the Bid Amount will be blocked upon acceptance of UPI</w:t>
              <w:br/>
              <w:t>Mandate Request by the UPI Bidders</w:t>
            </w:r>
          </w:p>
        </w:tc>
      </w:tr>
      <w:tr>
        <w:tc>
          <w:tcPr>
            <w:tcW w:type="dxa" w:w="4320"/>
          </w:tcPr>
          <w:p>
            <w:r>
              <w:t>ASBA Account</w:t>
            </w:r>
          </w:p>
        </w:tc>
        <w:tc>
          <w:tcPr>
            <w:tcW w:type="dxa" w:w="4320"/>
          </w:tcPr>
          <w:p>
            <w:r>
              <w:t>A bank account maintained with an SCSB by an ASBA Bidder, as specified in the ASBA Form submitted by ASBA Bidders for blocking the Bid Amount mentioned in the relevant ASBA Form and includes the account of a UPI Bidder which is blocked upon acceptance of a UPI Mandate</w:t>
              <w:br/>
              <w:t>Request made by the UPI Bidder</w:t>
            </w:r>
          </w:p>
        </w:tc>
      </w:tr>
      <w:tr>
        <w:tc>
          <w:tcPr>
            <w:tcW w:type="dxa" w:w="4320"/>
          </w:tcPr>
          <w:p>
            <w:r>
              <w:t>ASBA Bidders</w:t>
            </w:r>
          </w:p>
        </w:tc>
        <w:tc>
          <w:tcPr>
            <w:tcW w:type="dxa" w:w="4320"/>
          </w:tcPr>
          <w:p>
            <w:r>
              <w:t>All Bidders except Anchor Investors</w:t>
            </w:r>
          </w:p>
        </w:tc>
      </w:tr>
      <w:tr>
        <w:tc>
          <w:tcPr>
            <w:tcW w:type="dxa" w:w="4320"/>
          </w:tcPr>
          <w:p>
            <w:r>
              <w:t>ASBA Form</w:t>
            </w:r>
          </w:p>
        </w:tc>
        <w:tc>
          <w:tcPr>
            <w:tcW w:type="dxa" w:w="4320"/>
          </w:tcPr>
          <w:p>
            <w:r>
              <w:t>An application form, whether physical or electronic, used by ASBA Bidders to submit Bids which will be considered as the application for Allotment in terms of this Red Herring Prospectus and the Prospectus</w:t>
            </w:r>
          </w:p>
        </w:tc>
      </w:tr>
      <w:tr>
        <w:tc>
          <w:tcPr>
            <w:tcW w:type="dxa" w:w="4320"/>
          </w:tcPr>
          <w:p>
            <w:r>
              <w:t>ASM</w:t>
            </w:r>
          </w:p>
        </w:tc>
        <w:tc>
          <w:tcPr>
            <w:tcW w:type="dxa" w:w="4320"/>
          </w:tcPr>
          <w:p>
            <w:r>
              <w:t>Additional Surveillance Measure</w:t>
            </w:r>
          </w:p>
        </w:tc>
      </w:tr>
      <w:tr>
        <w:tc>
          <w:tcPr>
            <w:tcW w:type="dxa" w:w="4320"/>
          </w:tcPr>
          <w:p>
            <w:r>
              <w:t>Bankers to the Offer</w:t>
            </w:r>
          </w:p>
        </w:tc>
        <w:tc>
          <w:tcPr>
            <w:tcW w:type="dxa" w:w="4320"/>
          </w:tcPr>
          <w:p>
            <w:r>
              <w:t>Collectively, the Escrow Collection Bank, the Refund Bank, the Public Offer Account Bank and the Sponsor Banks</w:t>
            </w:r>
          </w:p>
        </w:tc>
      </w:tr>
      <w:tr>
        <w:tc>
          <w:tcPr>
            <w:tcW w:type="dxa" w:w="4320"/>
          </w:tcPr>
          <w:p>
            <w:r>
              <w:t>Basis of Allotment</w:t>
            </w:r>
          </w:p>
        </w:tc>
        <w:tc>
          <w:tcPr>
            <w:tcW w:type="dxa" w:w="4320"/>
          </w:tcPr>
          <w:p>
            <w:r>
              <w:t>Basis on which Equity Shares will be Allotted to successful Bidders under the Offer, as described in “Offer Procedure” on page 420</w:t>
            </w:r>
          </w:p>
        </w:tc>
      </w:tr>
      <w:tr>
        <w:tc>
          <w:tcPr>
            <w:tcW w:type="dxa" w:w="4320"/>
          </w:tcPr>
          <w:p>
            <w:r>
              <w:t>Bid</w:t>
            </w:r>
          </w:p>
        </w:tc>
        <w:tc>
          <w:tcPr>
            <w:tcW w:type="dxa" w:w="4320"/>
          </w:tcPr>
          <w:p>
            <w:r>
              <w:t>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w:t>
              <w:br/>
              <w:t>accordingly</w:t>
            </w:r>
          </w:p>
        </w:tc>
      </w:tr>
      <w:tr>
        <w:tc>
          <w:tcPr>
            <w:tcW w:type="dxa" w:w="4320"/>
          </w:tcPr>
          <w:p>
            <w:r>
              <w:t>Bid Amount</w:t>
            </w:r>
          </w:p>
        </w:tc>
        <w:tc>
          <w:tcPr>
            <w:tcW w:type="dxa" w:w="4320"/>
          </w:tcPr>
          <w:p>
            <w: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w:t>
              <w:br/>
              <w:t>submission of the Bid in the Offer, as applicable</w:t>
            </w:r>
          </w:p>
        </w:tc>
      </w:tr>
      <w:tr>
        <w:tc>
          <w:tcPr>
            <w:tcW w:type="dxa" w:w="4320"/>
          </w:tcPr>
          <w:p>
            <w:r>
              <w:t>Bid cum Application Form</w:t>
            </w:r>
          </w:p>
        </w:tc>
        <w:tc>
          <w:tcPr>
            <w:tcW w:type="dxa" w:w="4320"/>
          </w:tcPr>
          <w:p>
            <w:r>
              <w:t>The Anchor Investor Application Form or the ASBA Form, as the context requires.</w:t>
            </w:r>
          </w:p>
        </w:tc>
      </w:tr>
      <w:tr>
        <w:tc>
          <w:tcPr>
            <w:tcW w:type="dxa" w:w="4320"/>
          </w:tcPr>
          <w:p>
            <w:r>
              <w:t>Bid Lot</w:t>
            </w:r>
          </w:p>
        </w:tc>
        <w:tc>
          <w:tcPr>
            <w:tcW w:type="dxa" w:w="4320"/>
          </w:tcPr>
          <w:p>
            <w:r>
              <w:t>[●] Equity Shares of face value of ₹5 each and in multiples of [●] Equity Shares of face value of</w:t>
              <w:br/>
              <w:t>₹5 each thereafter</w:t>
            </w:r>
          </w:p>
        </w:tc>
      </w:tr>
      <w:tr>
        <w:tc>
          <w:tcPr>
            <w:tcW w:type="dxa" w:w="4320"/>
          </w:tcPr>
          <w:p>
            <w:r>
              <w:t>Bid/Offer Closing Date</w:t>
            </w:r>
          </w:p>
        </w:tc>
        <w:tc>
          <w:tcPr>
            <w:tcW w:type="dxa" w:w="4320"/>
          </w:tcPr>
          <w:p>
            <w: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br/>
              <w:b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w:t>
              <w:br/>
              <w:t>advertisement in same newspapers in which the Bid/ Offer Opening Date was published, as required under the SEBI ICDR Regulations</w:t>
            </w:r>
          </w:p>
        </w:tc>
      </w:tr>
      <w:tr>
        <w:tc>
          <w:tcPr>
            <w:tcW w:type="dxa" w:w="4320"/>
          </w:tcPr>
          <w:p>
            <w:r>
              <w:t>Bid/Offer Opening Date</w:t>
            </w:r>
          </w:p>
        </w:tc>
        <w:tc>
          <w:tcPr>
            <w:tcW w:type="dxa" w:w="4320"/>
          </w:tcPr>
          <w:p>
            <w:r>
              <w:t>Except in relation to any Bids received from the Anchor Investors, the date on which the Designated Intermediaries shall start accepting Bids, being December 16, 2025, which shall be published in all editions of Financial Express (a widely circulated English national daily</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newspaper), all editions of Jansatta (a widely circulated Hindi national daily newspaper), and Pune edition of Loksatta (a widely circulated Marathi daily newspaper, Marathi being the regional</w:t>
              <w:br/>
              <w:t>language of Maharashtra, where our Registered Office is located)</w:t>
            </w:r>
          </w:p>
        </w:tc>
      </w:tr>
      <w:tr>
        <w:tc>
          <w:tcPr>
            <w:tcW w:type="dxa" w:w="4320"/>
          </w:tcPr>
          <w:p>
            <w:r>
              <w:t>Bid/ Offer Period</w:t>
            </w:r>
          </w:p>
        </w:tc>
        <w:tc>
          <w:tcPr>
            <w:tcW w:type="dxa" w:w="4320"/>
          </w:tcPr>
          <w:p>
            <w:r>
              <w:t>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w:t>
              <w:br/>
              <w:t>In cases of force majeure, banking strike or similar unforeseen circumstances, our Company may, for reasons to be recorded in writing, extend the Bid/Offer Period for a minimum of one Working Day, subject to the Bid/Offer Period not exceeding 10 Working Days</w:t>
            </w:r>
          </w:p>
        </w:tc>
      </w:tr>
      <w:tr>
        <w:tc>
          <w:tcPr>
            <w:tcW w:type="dxa" w:w="4320"/>
          </w:tcPr>
          <w:p>
            <w:r>
              <w:t>Bidder</w:t>
            </w:r>
          </w:p>
        </w:tc>
        <w:tc>
          <w:tcPr>
            <w:tcW w:type="dxa" w:w="4320"/>
          </w:tcPr>
          <w:p>
            <w:r>
              <w:t>Any prospective investor who makes a Bid pursuant to the terms of this Red Herring Prospectus</w:t>
              <w:br/>
              <w:t>and the Bid cum Application Form and unless otherwise stated or implied, includes an Anchor Investor</w:t>
            </w:r>
          </w:p>
        </w:tc>
      </w:tr>
      <w:tr>
        <w:tc>
          <w:tcPr>
            <w:tcW w:type="dxa" w:w="4320"/>
          </w:tcPr>
          <w:p>
            <w:r>
              <w:t>Bidding Centres</w:t>
            </w:r>
          </w:p>
        </w:tc>
        <w:tc>
          <w:tcPr>
            <w:tcW w:type="dxa" w:w="4320"/>
          </w:tcPr>
          <w:p>
            <w:r>
              <w:t>Centres at which the Designated Intermediaries shall accept the ASBA Forms, i.e., Designated</w:t>
              <w:br/>
              <w:t>SCSB Branches for SCSBs, Specified Locations for Syndicate, Broker Centres for Registered Brokers, Designated RTA Locations for RTAs and Designated CDP Locations for CDPs</w:t>
            </w:r>
          </w:p>
        </w:tc>
      </w:tr>
      <w:tr>
        <w:tc>
          <w:tcPr>
            <w:tcW w:type="dxa" w:w="4320"/>
          </w:tcPr>
          <w:p>
            <w:r>
              <w:t>Book Building Process</w:t>
            </w:r>
          </w:p>
        </w:tc>
        <w:tc>
          <w:tcPr>
            <w:tcW w:type="dxa" w:w="4320"/>
          </w:tcPr>
          <w:p>
            <w:r>
              <w:t>Book building process, as provided in Schedule XIII of the SEBI ICDR Regulations, in terms of which the Offer is being made</w:t>
            </w:r>
          </w:p>
        </w:tc>
      </w:tr>
      <w:tr>
        <w:tc>
          <w:tcPr>
            <w:tcW w:type="dxa" w:w="4320"/>
          </w:tcPr>
          <w:p>
            <w:r>
              <w:t>Book</w:t>
              <w:tab/>
              <w:t>Running</w:t>
              <w:tab/>
              <w:t>Lead</w:t>
              <w:tab/>
              <w:t>Managers/ BRLMs/Managers</w:t>
            </w:r>
          </w:p>
        </w:tc>
        <w:tc>
          <w:tcPr>
            <w:tcW w:type="dxa" w:w="4320"/>
          </w:tcPr>
          <w:p>
            <w:r>
              <w:t>The book running lead managers to the Offer namely, Northgate Bank Limited and Oakridge Pharma LLP</w:t>
            </w:r>
          </w:p>
        </w:tc>
      </w:tr>
      <w:tr>
        <w:tc>
          <w:tcPr>
            <w:tcW w:type="dxa" w:w="4320"/>
          </w:tcPr>
          <w:p>
            <w:r>
              <w:t>Broker Centres</w:t>
            </w:r>
          </w:p>
        </w:tc>
        <w:tc>
          <w:tcPr>
            <w:tcW w:type="dxa" w:w="4320"/>
          </w:tcPr>
          <w:p>
            <w:r>
              <w:t>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w:t>
              <w:br/>
              <w:t>Exchanges (www.bseindia.com and www.nseindia.com)</w:t>
            </w:r>
          </w:p>
        </w:tc>
      </w:tr>
      <w:tr>
        <w:tc>
          <w:tcPr>
            <w:tcW w:type="dxa" w:w="4320"/>
          </w:tcPr>
          <w:p>
            <w:r>
              <w:t>CAN/ Confirmation of Allocation Note</w:t>
            </w:r>
          </w:p>
        </w:tc>
        <w:tc>
          <w:tcPr>
            <w:tcW w:type="dxa" w:w="4320"/>
          </w:tcPr>
          <w:p>
            <w:r>
              <w:t>Notice or intimation of allocation of the Equity Shares sent to Anchor Investors, who have been allocated the Equity Shares, on/after the Anchor Investor Bidding Date</w:t>
            </w:r>
          </w:p>
        </w:tc>
      </w:tr>
      <w:tr>
        <w:tc>
          <w:tcPr>
            <w:tcW w:type="dxa" w:w="4320"/>
          </w:tcPr>
          <w:p>
            <w:r>
              <w:t>Cap Price</w:t>
            </w:r>
          </w:p>
        </w:tc>
        <w:tc>
          <w:tcPr>
            <w:tcW w:type="dxa" w:w="4320"/>
          </w:tcPr>
          <w:p>
            <w:r>
              <w:t>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c>
          <w:tcPr>
            <w:tcW w:type="dxa" w:w="4320"/>
          </w:tcPr>
          <w:p>
            <w:r>
              <w:t>Cash Escrow and Sponsor Banks Agreement</w:t>
            </w:r>
          </w:p>
        </w:tc>
        <w:tc>
          <w:tcPr>
            <w:tcW w:type="dxa" w:w="4320"/>
          </w:tcPr>
          <w:p>
            <w:r>
              <w:t>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br/>
              <w:t>amounts collected from Bidders, on the terms and conditions thereof</w:t>
            </w:r>
          </w:p>
        </w:tc>
      </w:tr>
      <w:tr>
        <w:tc>
          <w:tcPr>
            <w:tcW w:type="dxa" w:w="4320"/>
          </w:tcPr>
          <w:p>
            <w:r>
              <w:t>Client ID</w:t>
            </w:r>
          </w:p>
        </w:tc>
        <w:tc>
          <w:tcPr>
            <w:tcW w:type="dxa" w:w="4320"/>
          </w:tcPr>
          <w:p>
            <w:r>
              <w:t>Client identification number maintained with one of the Depositories in relation to the Bidder’s beneficiary account</w:t>
            </w:r>
          </w:p>
        </w:tc>
      </w:tr>
      <w:tr>
        <w:tc>
          <w:tcPr>
            <w:tcW w:type="dxa" w:w="4320"/>
          </w:tcPr>
          <w:p>
            <w:r>
              <w:t>Collecting Depository Participant/ CDP</w:t>
            </w:r>
          </w:p>
        </w:tc>
        <w:tc>
          <w:tcPr>
            <w:tcW w:type="dxa" w:w="4320"/>
          </w:tcPr>
          <w:p>
            <w:r>
              <w:t>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w:t>
              <w:br/>
              <w:t>Exchanges at www.bseindia.com and www.nseindia.com, as updated from time to time</w:t>
            </w:r>
          </w:p>
        </w:tc>
      </w:tr>
      <w:tr>
        <w:tc>
          <w:tcPr>
            <w:tcW w:type="dxa" w:w="4320"/>
          </w:tcPr>
          <w:p>
            <w:r>
              <w:t>Cut-off Price</w:t>
            </w:r>
          </w:p>
        </w:tc>
        <w:tc>
          <w:tcPr>
            <w:tcW w:type="dxa" w:w="4320"/>
          </w:tcPr>
          <w:p>
            <w:r>
              <w:t>Offer Price, finalised by our Company, in consultation with the BRLMs, which shall be any price within the Price Band.</w:t>
              <w:br/>
              <w:t>Only Retail Individual Investors Bidding in the Retail Portion are entitled to Bid at the Cut-off</w:t>
              <w:br/>
              <w:t>Price. QIBs (including Anchor Investors) and Non-Institutional Investors are not entitled to Bid at the Cut-off Price</w:t>
            </w:r>
          </w:p>
        </w:tc>
      </w:tr>
      <w:tr>
        <w:tc>
          <w:tcPr>
            <w:tcW w:type="dxa" w:w="4320"/>
          </w:tcPr>
          <w:p>
            <w:r>
              <w:t>Demographic Details</w:t>
            </w:r>
          </w:p>
        </w:tc>
        <w:tc>
          <w:tcPr>
            <w:tcW w:type="dxa" w:w="4320"/>
          </w:tcPr>
          <w:p>
            <w:r>
              <w:t>Details of the Bidders including the Bidder’s address, name of the Bidder’s father/husband, investor status, occupation and bank account details and UPI ID, where applicable</w:t>
            </w:r>
          </w:p>
        </w:tc>
      </w:tr>
      <w:tr>
        <w:tc>
          <w:tcPr>
            <w:tcW w:type="dxa" w:w="4320"/>
          </w:tcPr>
          <w:p>
            <w:r>
              <w:t>Designated CDP Locations</w:t>
            </w:r>
          </w:p>
        </w:tc>
        <w:tc>
          <w:tcPr>
            <w:tcW w:type="dxa" w:w="4320"/>
          </w:tcPr>
          <w:p>
            <w:r>
              <w:t>Such locations of the CDPs where Bidders (other than Anchor Investors) can submit the ASBA Forms. The details of such Designated CDP Locations, along with names and contact details of the Collecting Depository Participants eligible to accept ASBA Forms are available on the</w:t>
              <w:br/>
              <w:t>respective websites of the Stock Exchanges at www.bseindia.com and www.nseindia.com and updated from time to time</w:t>
            </w:r>
          </w:p>
        </w:tc>
      </w:tr>
      <w:tr>
        <w:tc>
          <w:tcPr>
            <w:tcW w:type="dxa" w:w="4320"/>
          </w:tcPr>
          <w:p>
            <w:r>
              <w:t>Designated Date</w:t>
            </w:r>
          </w:p>
        </w:tc>
        <w:tc>
          <w:tcPr>
            <w:tcW w:type="dxa" w:w="4320"/>
          </w:tcPr>
          <w:p>
            <w:r>
              <w:t>The date on which funds are transferred from the Escrow Accounts and the amounts blocked are transferred from the ASBA Accounts, as the case may be, to the Public Offer Account or the Refund Account, as appropriate, in terms of this Red Herring Prospectus and the Prospectus, after</w:t>
              <w:br/>
              <w:t>finalisation of the Basis of Allotment in consultation with the Designated Stock Exchange, following which Equity Shares may be Allotted to successful Bidders in the Offer</w:t>
            </w:r>
          </w:p>
        </w:tc>
      </w:tr>
      <w:tr>
        <w:tc>
          <w:tcPr>
            <w:tcW w:type="dxa" w:w="4320"/>
          </w:tcPr>
          <w:p>
            <w:r>
              <w:t>Designated Intermediaries</w:t>
            </w:r>
          </w:p>
        </w:tc>
        <w:tc>
          <w:tcPr>
            <w:tcW w:type="dxa" w:w="4320"/>
          </w:tcPr>
          <w:p>
            <w:r>
              <w:t>In relation to ASBA Forms submitted by UPI Bidders (not using the UPI Mechanism) authorizing an SCSB to block the Bid Amount in the ASBA Account, Designated Intermediaries shall mean SCSBs.</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In relation to ASBA Forms submitted by UPI Bidders where the Bid Amount will be blocked upon acceptance of UPI Mandate Request by such UPI Bidders using the UPI Mechanism, Designated Intermediaries shall mean Syndicate, sub-syndicate, Registered Brokers, CDPs and RTAs.</w:t>
              <w:br/>
              <w:br/>
              <w:t>In relation to ASBA Forms submitted by QIBs and NIIs (not using the UPI Mechanism), Designated Intermediaries shall mean SCSBs, Syndicate, sub-Syndicate, Registered Brokers,</w:t>
              <w:br/>
              <w:t>CDPs and RTAs</w:t>
            </w:r>
          </w:p>
        </w:tc>
      </w:tr>
      <w:tr>
        <w:tc>
          <w:tcPr>
            <w:tcW w:type="dxa" w:w="4320"/>
          </w:tcPr>
          <w:p>
            <w:r>
              <w:t>Designated RTA Locations</w:t>
            </w:r>
          </w:p>
        </w:tc>
        <w:tc>
          <w:tcPr>
            <w:tcW w:type="dxa" w:w="4320"/>
          </w:tcPr>
          <w:p>
            <w:r>
              <w:t>Such centres of the RTAs where ASBA Bidders can submit the ASBA Forms (in case of UPI Bidder only ASBA Forms under UPI). The details of such Designated RTA Locations, along with the names and contact details of the RTAs are available on the respective websites of the Stock</w:t>
              <w:br/>
              <w:t>Exchanges at www.bseindia.com and www.nseindia.com and as updated from time to time</w:t>
            </w:r>
          </w:p>
        </w:tc>
      </w:tr>
      <w:tr>
        <w:tc>
          <w:tcPr>
            <w:tcW w:type="dxa" w:w="4320"/>
          </w:tcPr>
          <w:p>
            <w:r>
              <w:t>Designated SCSB Branches</w:t>
            </w:r>
          </w:p>
        </w:tc>
        <w:tc>
          <w:tcPr>
            <w:tcW w:type="dxa" w:w="4320"/>
          </w:tcPr>
          <w:p>
            <w:r>
              <w:t>Such branches of the SCSBs which shall collect the ASBA Forms, a list of which is available on the website of SEBI at www.sebi.gov.in/sebiweb/other/OtherAction.do?doRecognised=yes or at</w:t>
              <w:br/>
              <w:t>such other website as may be prescribed by SEBI from time to time</w:t>
            </w:r>
          </w:p>
        </w:tc>
      </w:tr>
      <w:tr>
        <w:tc>
          <w:tcPr>
            <w:tcW w:type="dxa" w:w="4320"/>
          </w:tcPr>
          <w:p>
            <w:r>
              <w:t>Designated Stock Exchange</w:t>
            </w:r>
          </w:p>
        </w:tc>
        <w:tc>
          <w:tcPr>
            <w:tcW w:type="dxa" w:w="4320"/>
          </w:tcPr>
          <w:p>
            <w:r>
              <w:t>BSE</w:t>
            </w:r>
          </w:p>
        </w:tc>
      </w:tr>
      <w:tr>
        <w:tc>
          <w:tcPr>
            <w:tcW w:type="dxa" w:w="4320"/>
          </w:tcPr>
          <w:p>
            <w:r>
              <w:t>Draft Red Herring Prospectus/ DRHP</w:t>
            </w:r>
          </w:p>
        </w:tc>
        <w:tc>
          <w:tcPr>
            <w:tcW w:type="dxa" w:w="4320"/>
          </w:tcPr>
          <w:p>
            <w:r>
              <w:t>The draft red herring prospectus dated May 22, 2025, issued in accordance with the SEBI ICDR Regulations, which did not contain complete particulars of the price at which the Equity Shares</w:t>
              <w:br/>
              <w:t>will be Allotted and the size of the Offer</w:t>
            </w:r>
          </w:p>
        </w:tc>
      </w:tr>
      <w:tr>
        <w:tc>
          <w:tcPr>
            <w:tcW w:type="dxa" w:w="4320"/>
          </w:tcPr>
          <w:p>
            <w:r>
              <w:t>Eligible FPI(s)</w:t>
            </w:r>
          </w:p>
        </w:tc>
        <w:tc>
          <w:tcPr>
            <w:tcW w:type="dxa" w:w="4320"/>
          </w:tcPr>
          <w:p>
            <w:r>
              <w:t>FPIs that are eligible to participate in this Offer in terms of applicable laws</w:t>
            </w:r>
          </w:p>
        </w:tc>
      </w:tr>
      <w:tr>
        <w:tc>
          <w:tcPr>
            <w:tcW w:type="dxa" w:w="4320"/>
          </w:tcPr>
          <w:p>
            <w:r>
              <w:t>Eligible NRI(s)</w:t>
            </w:r>
          </w:p>
        </w:tc>
        <w:tc>
          <w:tcPr>
            <w:tcW w:type="dxa" w:w="4320"/>
          </w:tcPr>
          <w:p>
            <w:r>
              <w:t>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w:t>
            </w:r>
          </w:p>
        </w:tc>
      </w:tr>
      <w:tr>
        <w:tc>
          <w:tcPr>
            <w:tcW w:type="dxa" w:w="4320"/>
          </w:tcPr>
          <w:p>
            <w:r>
              <w:t>Escrow Accounts</w:t>
            </w:r>
          </w:p>
        </w:tc>
        <w:tc>
          <w:tcPr>
            <w:tcW w:type="dxa" w:w="4320"/>
          </w:tcPr>
          <w:p>
            <w:r>
              <w:t>Accounts opened with the Escrow Collection Bank and in whose favour Anchor Investors will transfer the money through direct credit/NEFT/RTGS/NACH in respect of the Bid Amount while submitting a Bid</w:t>
            </w:r>
          </w:p>
        </w:tc>
      </w:tr>
      <w:tr>
        <w:tc>
          <w:tcPr>
            <w:tcW w:type="dxa" w:w="4320"/>
          </w:tcPr>
          <w:p>
            <w:r>
              <w:t>Escrow Collection Bank</w:t>
            </w:r>
          </w:p>
        </w:tc>
        <w:tc>
          <w:tcPr>
            <w:tcW w:type="dxa" w:w="4320"/>
          </w:tcPr>
          <w:p>
            <w:r>
              <w:t>The bank, which is a clearing member registered with SEBI as banker to an issue under the SEBI BTI Regulations and with whom the Escrow Accounts have been opened, in this case being Meridian Auto Components Limited</w:t>
            </w:r>
          </w:p>
        </w:tc>
      </w:tr>
      <w:tr>
        <w:tc>
          <w:tcPr>
            <w:tcW w:type="dxa" w:w="4320"/>
          </w:tcPr>
          <w:p>
            <w:r>
              <w:t>First Bidder</w:t>
            </w:r>
          </w:p>
        </w:tc>
        <w:tc>
          <w:tcPr>
            <w:tcW w:type="dxa" w:w="4320"/>
          </w:tcPr>
          <w:p>
            <w:r>
              <w:t>Bidder whose name shall be mentioned in the Bid cum Application Form or the Revision Form and in case of joint Bids, whose name shall also appear as the first holder of the beneficiary account held in joint names</w:t>
            </w:r>
          </w:p>
        </w:tc>
      </w:tr>
      <w:tr>
        <w:tc>
          <w:tcPr>
            <w:tcW w:type="dxa" w:w="4320"/>
          </w:tcPr>
          <w:p>
            <w:r>
              <w:t>Floor Price</w:t>
            </w:r>
          </w:p>
        </w:tc>
        <w:tc>
          <w:tcPr>
            <w:tcW w:type="dxa" w:w="4320"/>
          </w:tcPr>
          <w:p>
            <w:r>
              <w:t>The lower end of the Price Band, subject to any revision(s) thereto, at or above which the Offer</w:t>
              <w:br/>
              <w:t>Price and the Anchor Investor Offer Price will be finalised and below which no Bids will be accepted</w:t>
            </w:r>
          </w:p>
        </w:tc>
      </w:tr>
      <w:tr>
        <w:tc>
          <w:tcPr>
            <w:tcW w:type="dxa" w:w="4320"/>
          </w:tcPr>
          <w:p>
            <w:r>
              <w:t>Fraudulent Borrower</w:t>
            </w:r>
          </w:p>
        </w:tc>
        <w:tc>
          <w:tcPr>
            <w:tcW w:type="dxa" w:w="4320"/>
          </w:tcPr>
          <w:p>
            <w:r>
              <w:t>Fraudulent borrower as defined under Regulation 2(1)(lll) of the SEBI ICDR Regulations</w:t>
            </w:r>
          </w:p>
        </w:tc>
      </w:tr>
      <w:tr>
        <w:tc>
          <w:tcPr>
            <w:tcW w:type="dxa" w:w="4320"/>
          </w:tcPr>
          <w:p>
            <w:r>
              <w:t>Fresh Issue</w:t>
            </w:r>
          </w:p>
        </w:tc>
        <w:tc>
          <w:tcPr>
            <w:tcW w:type="dxa" w:w="4320"/>
          </w:tcPr>
          <w:p>
            <w:r>
              <w:t>The fresh issue of up to [●] Equity Shares of face value of ₹5 each by our Company, at ₹[●] per Equity Share (including a premium of ₹[●] per Equity Share) aggregating up to ₹4,200.00 million. For information, see “The Offer” on page 67</w:t>
            </w:r>
          </w:p>
        </w:tc>
      </w:tr>
      <w:tr>
        <w:tc>
          <w:tcPr>
            <w:tcW w:type="dxa" w:w="4320"/>
          </w:tcPr>
          <w:p>
            <w:r>
              <w:t>Fugitive Economic Offender</w:t>
            </w:r>
          </w:p>
        </w:tc>
        <w:tc>
          <w:tcPr>
            <w:tcW w:type="dxa" w:w="4320"/>
          </w:tcPr>
          <w:p>
            <w:r>
              <w:t>An individual who is declared a fugitive economic offender under Section 12 of the Fugitive Economic Offenders Act, 2012</w:t>
            </w:r>
          </w:p>
        </w:tc>
      </w:tr>
      <w:tr>
        <w:tc>
          <w:tcPr>
            <w:tcW w:type="dxa" w:w="4320"/>
          </w:tcPr>
          <w:p>
            <w:r>
              <w:t>General Information Document</w:t>
            </w:r>
          </w:p>
        </w:tc>
        <w:tc>
          <w:tcPr>
            <w:tcW w:type="dxa" w:w="4320"/>
          </w:tcPr>
          <w:p>
            <w:r>
              <w:t>The General Information Document for investing in public offers, prepared and issued in accordance with the SEBI circular (SEBI/HO/CFD/DIL1/CIR/P/2020/37) dated March 17, 2020,</w:t>
              <w:br/>
              <w:t>issued by SEBI, suitably modified and updated pursuant to, among others, the UPI Circulars and any subsequent circulars or notifications issued by SEBI from time to time</w:t>
            </w:r>
          </w:p>
        </w:tc>
      </w:tr>
      <w:tr>
        <w:tc>
          <w:tcPr>
            <w:tcW w:type="dxa" w:w="4320"/>
          </w:tcPr>
          <w:p>
            <w:r>
              <w:t>GSM</w:t>
            </w:r>
          </w:p>
        </w:tc>
        <w:tc>
          <w:tcPr>
            <w:tcW w:type="dxa" w:w="4320"/>
          </w:tcPr>
          <w:p>
            <w:r>
              <w:t>Graded Surveillance Measures</w:t>
            </w:r>
          </w:p>
        </w:tc>
      </w:tr>
      <w:tr>
        <w:tc>
          <w:tcPr>
            <w:tcW w:type="dxa" w:w="4320"/>
          </w:tcPr>
          <w:p>
            <w:r>
              <w:t>Gross Proceeds</w:t>
            </w:r>
          </w:p>
        </w:tc>
        <w:tc>
          <w:tcPr>
            <w:tcW w:type="dxa" w:w="4320"/>
          </w:tcPr>
          <w:p>
            <w:r>
              <w:t>The gross proceeds of the Fresh Issue</w:t>
            </w:r>
          </w:p>
        </w:tc>
      </w:tr>
      <w:tr>
        <w:tc>
          <w:tcPr>
            <w:tcW w:type="dxa" w:w="4320"/>
          </w:tcPr>
          <w:p>
            <w:r>
              <w:t>ICICI Securities</w:t>
            </w:r>
          </w:p>
        </w:tc>
        <w:tc>
          <w:tcPr>
            <w:tcW w:type="dxa" w:w="4320"/>
          </w:tcPr>
          <w:p>
            <w:r>
              <w:t>Oakridge Pharma LLP</w:t>
            </w:r>
          </w:p>
        </w:tc>
      </w:tr>
      <w:tr>
        <w:tc>
          <w:tcPr>
            <w:tcW w:type="dxa" w:w="4320"/>
          </w:tcPr>
          <w:p>
            <w:r>
              <w:t>Life Insurance Companies</w:t>
            </w:r>
          </w:p>
        </w:tc>
        <w:tc>
          <w:tcPr>
            <w:tcW w:type="dxa" w:w="4320"/>
          </w:tcPr>
          <w:p>
            <w:r>
              <w:t>An entity registered with the Insurance Regulatory and Development Authority of India under the provisions of the Insurance Act, 1938</w:t>
            </w:r>
          </w:p>
        </w:tc>
      </w:tr>
      <w:tr>
        <w:tc>
          <w:tcPr>
            <w:tcW w:type="dxa" w:w="4320"/>
          </w:tcPr>
          <w:p>
            <w:r>
              <w:t>Monitoring Agency</w:t>
            </w:r>
          </w:p>
        </w:tc>
        <w:tc>
          <w:tcPr>
            <w:tcW w:type="dxa" w:w="4320"/>
          </w:tcPr>
          <w:p>
            <w:r>
              <w:t>The monitoring agency appointed pursuant to the Monitoring Agency Agreement, namely Northgate Bank Limited</w:t>
            </w:r>
          </w:p>
        </w:tc>
      </w:tr>
      <w:tr>
        <w:tc>
          <w:tcPr>
            <w:tcW w:type="dxa" w:w="4320"/>
          </w:tcPr>
          <w:p>
            <w:r>
              <w:t>Monitoring Agency Agreement</w:t>
            </w:r>
          </w:p>
        </w:tc>
        <w:tc>
          <w:tcPr>
            <w:tcW w:type="dxa" w:w="4320"/>
          </w:tcPr>
          <w:p>
            <w:r>
              <w:t>The agreement dated December 6, 2025 entered into between our Company and the Monitoring Agency prior to filing of this Red Herring Prospectus</w:t>
            </w:r>
          </w:p>
        </w:tc>
      </w:tr>
      <w:tr>
        <w:tc>
          <w:tcPr>
            <w:tcW w:type="dxa" w:w="4320"/>
          </w:tcPr>
          <w:p>
            <w:r>
              <w:t>Mutual Fund Portion</w:t>
            </w:r>
          </w:p>
        </w:tc>
        <w:tc>
          <w:tcPr>
            <w:tcW w:type="dxa" w:w="4320"/>
          </w:tcPr>
          <w:p>
            <w:r>
              <w:t>The portion of the Offer being 5% of the Net QIB Portion consisting of [●] Equity Shares of face value of ₹5 each which shall be available for allocation to Mutual Funds only on a proportionate basis, subject to valid Bids being received at or above the Offer Price</w:t>
            </w:r>
          </w:p>
        </w:tc>
      </w:tr>
      <w:tr>
        <w:tc>
          <w:tcPr>
            <w:tcW w:type="dxa" w:w="4320"/>
          </w:tcPr>
          <w:p>
            <w:r>
              <w:t>Mutual Funds</w:t>
            </w:r>
          </w:p>
        </w:tc>
        <w:tc>
          <w:tcPr>
            <w:tcW w:type="dxa" w:w="4320"/>
          </w:tcPr>
          <w:p>
            <w:r>
              <w:t>Mutual funds registered with SEBI under the SEBI Mutual Funds Regulations</w:t>
            </w:r>
          </w:p>
        </w:tc>
      </w:tr>
      <w:tr>
        <w:tc>
          <w:tcPr>
            <w:tcW w:type="dxa" w:w="4320"/>
          </w:tcPr>
          <w:p>
            <w:r>
              <w:t>Net Proceeds</w:t>
            </w:r>
          </w:p>
        </w:tc>
        <w:tc>
          <w:tcPr>
            <w:tcW w:type="dxa" w:w="4320"/>
          </w:tcPr>
          <w:p>
            <w:r>
              <w:t>The proceeds of the Fresh Issue less our Company’s share of the Offer related expenses. For details regarding the use of the Net Proceeds and the Offer related expenses, see “Objects of the Offer – Utilization of Net Proceeds” on page 107</w:t>
            </w:r>
          </w:p>
        </w:tc>
      </w:tr>
      <w:tr>
        <w:tc>
          <w:tcPr>
            <w:tcW w:type="dxa" w:w="4320"/>
          </w:tcPr>
          <w:p>
            <w:r>
              <w:t>Net QIB Portion</w:t>
            </w:r>
          </w:p>
        </w:tc>
        <w:tc>
          <w:tcPr>
            <w:tcW w:type="dxa" w:w="4320"/>
          </w:tcPr>
          <w:p>
            <w:r>
              <w:t>The portion of the QIB Portion less the number of Equity Shares Allotted to the Anchor Investors</w:t>
            </w:r>
          </w:p>
        </w:tc>
      </w:tr>
      <w:tr>
        <w:tc>
          <w:tcPr>
            <w:tcW w:type="dxa" w:w="4320"/>
          </w:tcPr>
          <w:p>
            <w:r>
              <w:t>Non-Institutional Investors/ NIIs</w:t>
            </w:r>
          </w:p>
        </w:tc>
        <w:tc>
          <w:tcPr>
            <w:tcW w:type="dxa" w:w="4320"/>
          </w:tcPr>
          <w:p>
            <w:r>
              <w:t>All Bidders that are not QIBs or Retail Individual Investors and who have Bid for Equity Shares for an amount more than ₹0.20 million (but not including NRIs other than Eligible NRIs)</w:t>
            </w:r>
          </w:p>
        </w:tc>
      </w:tr>
      <w:tr>
        <w:tc>
          <w:tcPr>
            <w:tcW w:type="dxa" w:w="4320"/>
          </w:tcPr>
          <w:p>
            <w:r>
              <w:t>Non-Institutional Portion</w:t>
            </w:r>
          </w:p>
        </w:tc>
        <w:tc>
          <w:tcPr>
            <w:tcW w:type="dxa" w:w="4320"/>
          </w:tcPr>
          <w:p>
            <w:r>
              <w:t>The portion of the Offer being not less than 15% of the Offer consisting of [●] Equity Shares of face value of ₹5 each which shall be available for allocation to Non-Institutional Investors, of which (a) one-third portion shall be reserved for applicants with application size of more than</w:t>
              <w:br/>
              <w:t>₹0.20 million and up to ₹1.00 million, and (b) two-thirds portion shall be reserved for applicants</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with application size of more than ₹1.00 million, provided that the unsubscribed portion in either of such sub-categories may be allocated to applicants in the other sub-category of Non-</w:t>
              <w:br/>
              <w:t>Institutional Investors, subject to valid Bids being received at or above the Offer Price</w:t>
            </w:r>
          </w:p>
        </w:tc>
      </w:tr>
      <w:tr>
        <w:tc>
          <w:tcPr>
            <w:tcW w:type="dxa" w:w="4320"/>
          </w:tcPr>
          <w:p>
            <w:r>
              <w:t>Non-Resident</w:t>
            </w:r>
          </w:p>
        </w:tc>
        <w:tc>
          <w:tcPr>
            <w:tcW w:type="dxa" w:w="4320"/>
          </w:tcPr>
          <w:p>
            <w:r>
              <w:t>A person resident outside India, as defined under FEMA and includes NRIs, FPIs and FVCIs</w:t>
            </w:r>
          </w:p>
        </w:tc>
      </w:tr>
      <w:tr>
        <w:tc>
          <w:tcPr>
            <w:tcW w:type="dxa" w:w="4320"/>
          </w:tcPr>
          <w:p>
            <w:r>
              <w:t>Nuvama</w:t>
            </w:r>
          </w:p>
        </w:tc>
        <w:tc>
          <w:tcPr>
            <w:tcW w:type="dxa" w:w="4320"/>
          </w:tcPr>
          <w:p>
            <w:r>
              <w:t>Northgate Bank Limited</w:t>
            </w:r>
          </w:p>
        </w:tc>
      </w:tr>
      <w:tr>
        <w:tc>
          <w:tcPr>
            <w:tcW w:type="dxa" w:w="4320"/>
          </w:tcPr>
          <w:p>
            <w:r>
              <w:t>Offer</w:t>
            </w:r>
          </w:p>
        </w:tc>
        <w:tc>
          <w:tcPr>
            <w:tcW w:type="dxa" w:w="4320"/>
          </w:tcPr>
          <w:p>
            <w:r>
              <w:t>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br/>
              <w:t>aggregating to ₹2,900.00 million by the Promoter Selling Shareholders</w:t>
            </w:r>
          </w:p>
        </w:tc>
      </w:tr>
      <w:tr>
        <w:tc>
          <w:tcPr>
            <w:tcW w:type="dxa" w:w="4320"/>
          </w:tcPr>
          <w:p>
            <w:r>
              <w:t>Offer Agreement</w:t>
            </w:r>
          </w:p>
        </w:tc>
        <w:tc>
          <w:tcPr>
            <w:tcW w:type="dxa" w:w="4320"/>
          </w:tcPr>
          <w:p>
            <w:r>
              <w:t>The agreement dated May 22, 2025, amongst our Company, the Promoter Selling Shareholders and the BRLMs, pursuant to which certain arrangements are agreed to in relation to the Offer</w:t>
            </w:r>
          </w:p>
        </w:tc>
      </w:tr>
      <w:tr>
        <w:tc>
          <w:tcPr>
            <w:tcW w:type="dxa" w:w="4320"/>
          </w:tcPr>
          <w:p>
            <w:r>
              <w:t>Offer for Sale</w:t>
            </w:r>
          </w:p>
        </w:tc>
        <w:tc>
          <w:tcPr>
            <w:tcW w:type="dxa" w:w="4320"/>
          </w:tcPr>
          <w:p>
            <w:r>
              <w:t>The offer for sale component of the Offer of up to [●] Equity Shares of face value of ₹5 each aggregating up to ₹2,900.00 million, comprising of an offer for sale of up to [●] Equity Shares of face value of ₹5 each by Emily Davis aggregating up to ₹1,528.00 million, up to [●] Equity Shares of face value of ₹5 each by Michael Chen aggregating up to ₹422.00 million, up to [●] Equity Shares of face value of ₹5 each by Priya Sharma aggregating up to ₹475.00 million and up to [●] Equity Shares of face value of ₹5 each by Jane Smith</w:t>
              <w:br/>
              <w:t>aggregating up to ₹475.00 million</w:t>
            </w:r>
          </w:p>
        </w:tc>
      </w:tr>
      <w:tr>
        <w:tc>
          <w:tcPr>
            <w:tcW w:type="dxa" w:w="4320"/>
          </w:tcPr>
          <w:p>
            <w:r>
              <w:t>Offer Price</w:t>
            </w:r>
          </w:p>
        </w:tc>
        <w:tc>
          <w:tcPr>
            <w:tcW w:type="dxa" w:w="4320"/>
          </w:tcPr>
          <w:p>
            <w:r>
              <w:t>₹[●]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w:t>
              <w:br/>
              <w:t>The Offer Price will be decided by our Company, in consultation with the BRLMs on the Pricing Date, in accordance with the Book Building Process and in terms of this Red Herring Prospectus</w:t>
            </w:r>
          </w:p>
        </w:tc>
      </w:tr>
      <w:tr>
        <w:tc>
          <w:tcPr>
            <w:tcW w:type="dxa" w:w="4320"/>
          </w:tcPr>
          <w:p>
            <w:r>
              <w:t>Offer Proceeds</w:t>
            </w:r>
          </w:p>
        </w:tc>
        <w:tc>
          <w:tcPr>
            <w:tcW w:type="dxa" w:w="4320"/>
          </w:tcPr>
          <w:p>
            <w:r>
              <w:t>The proceeds of the Fresh Issue which shall be available to our Company and the proceeds from the Offer for Sale which shall be available to the Promoter Selling Shareholders. For further</w:t>
              <w:br/>
              <w:t>information about use of the Offer Proceeds, please see section titled “Objects of the Offer” on page 106</w:t>
            </w:r>
          </w:p>
        </w:tc>
      </w:tr>
      <w:tr>
        <w:tc>
          <w:tcPr>
            <w:tcW w:type="dxa" w:w="4320"/>
          </w:tcPr>
          <w:p>
            <w:r>
              <w:t>Offered Shares</w:t>
            </w:r>
          </w:p>
        </w:tc>
        <w:tc>
          <w:tcPr>
            <w:tcW w:type="dxa" w:w="4320"/>
          </w:tcPr>
          <w:p>
            <w:r>
              <w:t>Up to [●] Equity Shares of face value of ₹5 each aggregating to ₹2,900.00 million being offered for sale by the Promoter Selling Shareholders in the Offer for Sale component of the Offer</w:t>
            </w:r>
          </w:p>
        </w:tc>
      </w:tr>
      <w:tr>
        <w:tc>
          <w:tcPr>
            <w:tcW w:type="dxa" w:w="4320"/>
          </w:tcPr>
          <w:p>
            <w:r>
              <w:t>Pension Fund</w:t>
            </w:r>
          </w:p>
        </w:tc>
        <w:tc>
          <w:tcPr>
            <w:tcW w:type="dxa" w:w="4320"/>
          </w:tcPr>
          <w:p>
            <w:r>
              <w:t>A fund registered with the Pension Fund Regulatory and Development Authority under the</w:t>
              <w:br/>
              <w:t>provisions of the Pension Fund Regulatory and Development Authority Act, 2013</w:t>
            </w:r>
          </w:p>
        </w:tc>
      </w:tr>
      <w:tr>
        <w:tc>
          <w:tcPr>
            <w:tcW w:type="dxa" w:w="4320"/>
          </w:tcPr>
          <w:p>
            <w:r>
              <w:t>Price Band</w:t>
            </w:r>
          </w:p>
        </w:tc>
        <w:tc>
          <w:tcPr>
            <w:tcW w:type="dxa" w:w="4320"/>
          </w:tcPr>
          <w:p>
            <w:r>
              <w:t>Price band of a minimum price of ₹[●] per Equity Share (Floor Price) and the maximum price of</w:t>
              <w:b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w:t>
              <w:br/>
              <w:t>purpose of uploading on their respective websites</w:t>
            </w:r>
          </w:p>
        </w:tc>
      </w:tr>
      <w:tr>
        <w:tc>
          <w:tcPr>
            <w:tcW w:type="dxa" w:w="4320"/>
          </w:tcPr>
          <w:p>
            <w:r>
              <w:t>Pricing Date</w:t>
            </w:r>
          </w:p>
        </w:tc>
        <w:tc>
          <w:tcPr>
            <w:tcW w:type="dxa" w:w="4320"/>
          </w:tcPr>
          <w:p>
            <w:r>
              <w:t>The date on which our Company, in consultation with the BRLMs, will finalise the Offer Price</w:t>
            </w:r>
          </w:p>
        </w:tc>
      </w:tr>
      <w:tr>
        <w:tc>
          <w:tcPr>
            <w:tcW w:type="dxa" w:w="4320"/>
          </w:tcPr>
          <w:p>
            <w:r>
              <w:t>Prospectus</w:t>
            </w:r>
          </w:p>
        </w:tc>
        <w:tc>
          <w:tcPr>
            <w:tcW w:type="dxa" w:w="4320"/>
          </w:tcPr>
          <w:p>
            <w:r>
              <w:t>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w:t>
              <w:br/>
              <w:t>or corrigenda thereto</w:t>
            </w:r>
          </w:p>
        </w:tc>
      </w:tr>
      <w:tr>
        <w:tc>
          <w:tcPr>
            <w:tcW w:type="dxa" w:w="4320"/>
          </w:tcPr>
          <w:p>
            <w:r>
              <w:t>Public Offer Account Bank</w:t>
            </w:r>
          </w:p>
        </w:tc>
        <w:tc>
          <w:tcPr>
            <w:tcW w:type="dxa" w:w="4320"/>
          </w:tcPr>
          <w:p>
            <w:r>
              <w:t>The bank with which the Public Offer Account has been opened for collection of Bid Amounts from Escrow Accounts and ASBA Accounts on the Designated Date, in this case being Oakridge Pharma LLP</w:t>
            </w:r>
          </w:p>
        </w:tc>
      </w:tr>
      <w:tr>
        <w:tc>
          <w:tcPr>
            <w:tcW w:type="dxa" w:w="4320"/>
          </w:tcPr>
          <w:p>
            <w:r>
              <w:t>Public Offer Account</w:t>
            </w:r>
          </w:p>
        </w:tc>
        <w:tc>
          <w:tcPr>
            <w:tcW w:type="dxa" w:w="4320"/>
          </w:tcPr>
          <w:p>
            <w:r>
              <w:t>Bank account opened with the Public Offer Account Bank under Section 40(3) of the Companies Act, 2013, to receive monies from the Escrow Accounts and ASBA Accounts on the Designated Date</w:t>
            </w:r>
          </w:p>
        </w:tc>
      </w:tr>
      <w:tr>
        <w:tc>
          <w:tcPr>
            <w:tcW w:type="dxa" w:w="4320"/>
          </w:tcPr>
          <w:p>
            <w:r>
              <w:t>QIB Portion</w:t>
            </w:r>
          </w:p>
        </w:tc>
        <w:tc>
          <w:tcPr>
            <w:tcW w:type="dxa" w:w="4320"/>
          </w:tcPr>
          <w:p>
            <w: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br/>
              <w:t>Regulations), subject to valid Bids being received at or above the Offer Price or the Anchor Investor Offer Price (for Anchor Investors)</w:t>
            </w:r>
          </w:p>
        </w:tc>
      </w:tr>
      <w:tr>
        <w:tc>
          <w:tcPr>
            <w:tcW w:type="dxa" w:w="4320"/>
          </w:tcPr>
          <w:p>
            <w:r>
              <w:t>Qualified</w:t>
              <w:tab/>
              <w:t>Institutional</w:t>
              <w:tab/>
              <w:t>Buyer(s)/ QIB(s)/ QIB Bidder(s)</w:t>
            </w:r>
          </w:p>
        </w:tc>
        <w:tc>
          <w:tcPr>
            <w:tcW w:type="dxa" w:w="4320"/>
          </w:tcPr>
          <w:p>
            <w:r>
              <w:t>Qualified institutional buyers as defined under Regulation 2(1)(ss) of the SEBI ICDR Regulations</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Red Herring Prospectus/ RHP</w:t>
            </w:r>
          </w:p>
        </w:tc>
        <w:tc>
          <w:tcPr>
            <w:tcW w:type="dxa" w:w="4320"/>
          </w:tcPr>
          <w:p>
            <w: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br/>
              <w:t>The Bid/Offer Opening Date is December 16, 2025, which is at least three Working Days after filing of this Red Herring Prospectus with the RoC. This Red Herring Prospectus will become the</w:t>
              <w:br/>
              <w:t>Prospectus upon filing with the RoC after the Pricing Date, including any addenda or corrigenda thereto</w:t>
            </w:r>
          </w:p>
        </w:tc>
      </w:tr>
      <w:tr>
        <w:tc>
          <w:tcPr>
            <w:tcW w:type="dxa" w:w="4320"/>
          </w:tcPr>
          <w:p>
            <w:r>
              <w:t>Refund Account</w:t>
            </w:r>
          </w:p>
        </w:tc>
        <w:tc>
          <w:tcPr>
            <w:tcW w:type="dxa" w:w="4320"/>
          </w:tcPr>
          <w:p>
            <w:r>
              <w:t>The account opened with the Refund Bank, from which refunds, if any, of the whole or part of the Bid Amount to the Anchor Investors shall be made.</w:t>
            </w:r>
          </w:p>
        </w:tc>
      </w:tr>
      <w:tr>
        <w:tc>
          <w:tcPr>
            <w:tcW w:type="dxa" w:w="4320"/>
          </w:tcPr>
          <w:p>
            <w:r>
              <w:t>Refund Bank</w:t>
            </w:r>
          </w:p>
        </w:tc>
        <w:tc>
          <w:tcPr>
            <w:tcW w:type="dxa" w:w="4320"/>
          </w:tcPr>
          <w:p>
            <w:r>
              <w:t>The bank which is a clearing member registered with SEBI under the SEBI BTI Regulations with whom the Refund Account has been opened, in this case being Meridian Auto Components Limited</w:t>
            </w:r>
          </w:p>
        </w:tc>
      </w:tr>
      <w:tr>
        <w:tc>
          <w:tcPr>
            <w:tcW w:type="dxa" w:w="4320"/>
          </w:tcPr>
          <w:p>
            <w:r>
              <w:t>Registered Brokers</w:t>
            </w:r>
          </w:p>
        </w:tc>
        <w:tc>
          <w:tcPr>
            <w:tcW w:type="dxa" w:w="4320"/>
          </w:tcPr>
          <w:p>
            <w:r>
              <w:t>Stockbrokers registered with the stock exchanges having nationwide terminals, other than the members of the Syndicate and eligible to procure Bids in terms of the SEBI ICDR Master Circular and the SEBI circular no. CIR/CFD/14/2012 dated October 4, 2012, and the UPI Circulars</w:t>
            </w:r>
          </w:p>
        </w:tc>
      </w:tr>
      <w:tr>
        <w:tc>
          <w:tcPr>
            <w:tcW w:type="dxa" w:w="4320"/>
          </w:tcPr>
          <w:p>
            <w:r>
              <w:t>RTAs/Registrar and Share Transfer Agents</w:t>
            </w:r>
          </w:p>
        </w:tc>
        <w:tc>
          <w:tcPr>
            <w:tcW w:type="dxa" w:w="4320"/>
          </w:tcPr>
          <w:p>
            <w:r>
              <w:t>The registrar and share transfer agents registered with SEBI and eligible to procure Bids at the</w:t>
              <w:br/>
              <w:t>Designated RTA Locations as per the list available on the websites of BSE and NSE, and the UPI Circulars</w:t>
            </w:r>
          </w:p>
        </w:tc>
      </w:tr>
      <w:tr>
        <w:tc>
          <w:tcPr>
            <w:tcW w:type="dxa" w:w="4320"/>
          </w:tcPr>
          <w:p>
            <w:r>
              <w:t>Registrar Agreement</w:t>
            </w:r>
          </w:p>
        </w:tc>
        <w:tc>
          <w:tcPr>
            <w:tcW w:type="dxa" w:w="4320"/>
          </w:tcPr>
          <w:p>
            <w:r>
              <w:t>The agreement dated May 22, 2025 between our Company, the Promoter Selling Shareholders and the Registrar to the Offer in relation to the responsibilities and obligations of the Registrar to the Offer pertaining to the Offer</w:t>
            </w:r>
          </w:p>
        </w:tc>
      </w:tr>
      <w:tr>
        <w:tc>
          <w:tcPr>
            <w:tcW w:type="dxa" w:w="4320"/>
          </w:tcPr>
          <w:p>
            <w:r>
              <w:t>Registrar to the Offer</w:t>
            </w:r>
          </w:p>
        </w:tc>
        <w:tc>
          <w:tcPr>
            <w:tcW w:type="dxa" w:w="4320"/>
          </w:tcPr>
          <w:p>
            <w:r>
              <w:t>Meridian Auto Components Limited (Lighthouse Foods Private Limited)</w:t>
            </w:r>
          </w:p>
        </w:tc>
      </w:tr>
      <w:tr>
        <w:tc>
          <w:tcPr>
            <w:tcW w:type="dxa" w:w="4320"/>
          </w:tcPr>
          <w:p>
            <w:r>
              <w:t>Retail Individual Investors(s)/ RII(s)</w:t>
            </w:r>
          </w:p>
        </w:tc>
        <w:tc>
          <w:tcPr>
            <w:tcW w:type="dxa" w:w="4320"/>
          </w:tcPr>
          <w:p>
            <w:r>
              <w:t>Individual Bidders, who have Bid for the Equity Shares for an amount not more than ₹0.20 million in any of the bidding options in the Offer (including HUFs applying through their Karta and Eligible NRIs and does not include NRIs other than Eligible NRIs)</w:t>
            </w:r>
          </w:p>
        </w:tc>
      </w:tr>
      <w:tr>
        <w:tc>
          <w:tcPr>
            <w:tcW w:type="dxa" w:w="4320"/>
          </w:tcPr>
          <w:p>
            <w:r>
              <w:t>Retail Portion</w:t>
            </w:r>
          </w:p>
        </w:tc>
        <w:tc>
          <w:tcPr>
            <w:tcW w:type="dxa" w:w="4320"/>
          </w:tcPr>
          <w:p>
            <w:r>
              <w:t>The portion of the Offer being not less than 35% of the Offer consisting of [●] Equity Shares of face value of ₹5 each, available for allocation to Retail Individual Investors as per the SEBI ICDR Regulations, subject to valid Bids being received at or above the Offer Price</w:t>
            </w:r>
          </w:p>
        </w:tc>
      </w:tr>
      <w:tr>
        <w:tc>
          <w:tcPr>
            <w:tcW w:type="dxa" w:w="4320"/>
          </w:tcPr>
          <w:p>
            <w:r>
              <w:t>Revision Form</w:t>
            </w:r>
          </w:p>
        </w:tc>
        <w:tc>
          <w:tcPr>
            <w:tcW w:type="dxa" w:w="4320"/>
          </w:tcPr>
          <w:p>
            <w:r>
              <w:t>Form used by the Bidders to modify the quantity of the Equity Shares or the Bid Amount in any of their ASBA Form(s) or any previous Revision Form(s)</w:t>
              <w:br/>
              <w:t>QIB Bidders and Non-Institutional Investors are not allowed to withdraw or lower their Bids (in terms of quantity of Equity Shares or the Bid Amount) at any stage. Retail Individual Investors</w:t>
              <w:br/>
              <w:t>can revise their Bids during the Bid/Offer Period and withdraw their Bids until Bid/Offer Closing Date</w:t>
            </w:r>
          </w:p>
        </w:tc>
      </w:tr>
      <w:tr>
        <w:tc>
          <w:tcPr>
            <w:tcW w:type="dxa" w:w="4320"/>
          </w:tcPr>
          <w:p>
            <w:r>
              <w:t>SCORES</w:t>
            </w:r>
          </w:p>
        </w:tc>
        <w:tc>
          <w:tcPr>
            <w:tcW w:type="dxa" w:w="4320"/>
          </w:tcPr>
          <w:p>
            <w:r>
              <w:t>SEBI Complaints Redressal Mechanism</w:t>
            </w:r>
          </w:p>
        </w:tc>
      </w:tr>
      <w:tr>
        <w:tc>
          <w:tcPr>
            <w:tcW w:type="dxa" w:w="4320"/>
          </w:tcPr>
          <w:p>
            <w:r>
              <w:t>Self-Certified</w:t>
              <w:tab/>
              <w:t>Syndicate</w:t>
              <w:tab/>
              <w:t>Bank(s)/ SCSB(s)</w:t>
            </w:r>
          </w:p>
        </w:tc>
        <w:tc>
          <w:tcPr>
            <w:tcW w:type="dxa" w:w="4320"/>
          </w:tcPr>
          <w:p>
            <w:r>
              <w:t>The banks registered with SEBI, offering services in relation to ASBA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br/>
              <w:t>The banks registered with SEBI, enabled for UPI Mechanism, a list of which is available on the</w:t>
              <w:tab/>
              <w:tab/>
              <w:t>website</w:t>
              <w:tab/>
              <w:t>of</w:t>
              <w:tab/>
              <w:t>SEBI</w:t>
              <w:tab/>
              <w:t>at</w:t>
              <w:br/>
              <w:t>www.sebi.gov.in/sebiweb/other/OtherAction.do?doRecognisedFpi=yes&amp;intmId=40</w:t>
              <w:tab/>
              <w:t>or</w:t>
              <w:tab/>
              <w:t>such other website as updated from time to time</w:t>
            </w:r>
          </w:p>
        </w:tc>
      </w:tr>
      <w:tr>
        <w:tc>
          <w:tcPr>
            <w:tcW w:type="dxa" w:w="4320"/>
          </w:tcPr>
          <w:p>
            <w:r>
              <w:t>Share Escrow Agent</w:t>
            </w:r>
          </w:p>
        </w:tc>
        <w:tc>
          <w:tcPr>
            <w:tcW w:type="dxa" w:w="4320"/>
          </w:tcPr>
          <w:p>
            <w:r>
              <w:t>The share escrow agent appointed pursuant to the Share Escrow Agreement, namely, Meridian Auto Components Limited (Lighthouse Foods Private Limited)</w:t>
            </w:r>
          </w:p>
        </w:tc>
      </w:tr>
      <w:tr>
        <w:tc>
          <w:tcPr>
            <w:tcW w:type="dxa" w:w="4320"/>
          </w:tcPr>
          <w:p>
            <w:r>
              <w:t>Share Escrow Agreement</w:t>
            </w:r>
          </w:p>
        </w:tc>
        <w:tc>
          <w:tcPr>
            <w:tcW w:type="dxa" w:w="4320"/>
          </w:tcPr>
          <w:p>
            <w:r>
              <w:t>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w:t>
              <w:br/>
              <w:t>of the Offer and credit of such Equity Shares to the demat account of the Allottees in accordance with the Basis of Allotment</w:t>
            </w:r>
          </w:p>
        </w:tc>
      </w:tr>
      <w:tr>
        <w:tc>
          <w:tcPr>
            <w:tcW w:type="dxa" w:w="4320"/>
          </w:tcPr>
          <w:p>
            <w:r>
              <w:t>Specified Locations</w:t>
            </w:r>
          </w:p>
        </w:tc>
        <w:tc>
          <w:tcPr>
            <w:tcW w:type="dxa" w:w="4320"/>
          </w:tcPr>
          <w:p>
            <w:r>
              <w:t>Bidding centres where the Syndicate shall accept ASBA Forms from Bidders, a list of which will be included in the Bid cum Application Form</w:t>
            </w:r>
          </w:p>
        </w:tc>
      </w:tr>
      <w:tr>
        <w:tc>
          <w:tcPr>
            <w:tcW w:type="dxa" w:w="4320"/>
          </w:tcPr>
          <w:p>
            <w:r>
              <w:t>Sponsor Banks</w:t>
            </w:r>
          </w:p>
        </w:tc>
        <w:tc>
          <w:tcPr>
            <w:tcW w:type="dxa" w:w="4320"/>
          </w:tcPr>
          <w:p>
            <w:r>
              <w:t>The Bankers to the Offer registered with SEBI, which have been appointed by our Company to act as a conduit between the Stock Exchanges and NPCI in order to push the UPI Mandate Request</w:t>
              <w:br/>
              <w:t>and/or payment instructions of the UPI Bidders using the UPI and carry out other responsibilities, in terms of the UPI Circulars, in this case being Meridian Auto Components Limited and Oakridge Pharma LLP</w:t>
            </w:r>
          </w:p>
        </w:tc>
      </w:tr>
      <w:tr>
        <w:tc>
          <w:tcPr>
            <w:tcW w:type="dxa" w:w="4320"/>
          </w:tcPr>
          <w:p>
            <w:r>
              <w:t>Stock Exchanges</w:t>
            </w:r>
          </w:p>
        </w:tc>
        <w:tc>
          <w:tcPr>
            <w:tcW w:type="dxa" w:w="4320"/>
          </w:tcPr>
          <w:p>
            <w:r>
              <w:t>Collectively, BSE Limited and National Stock Exchange of Ironclad Engineering Pvt. Ltd.</w:t>
            </w:r>
          </w:p>
        </w:tc>
      </w:tr>
      <w:tr>
        <w:tc>
          <w:tcPr>
            <w:tcW w:type="dxa" w:w="4320"/>
          </w:tcPr>
          <w:p>
            <w:r>
              <w:t>STT</w:t>
            </w:r>
          </w:p>
        </w:tc>
        <w:tc>
          <w:tcPr>
            <w:tcW w:type="dxa" w:w="4320"/>
          </w:tcPr>
          <w:p>
            <w:r>
              <w:t>Securities transaction tax</w:t>
            </w:r>
          </w:p>
        </w:tc>
      </w:tr>
      <w:tr>
        <w:tc>
          <w:tcPr>
            <w:tcW w:type="dxa" w:w="4320"/>
          </w:tcPr>
          <w:p>
            <w:r>
              <w:t>Syndicate Agreement</w:t>
            </w:r>
          </w:p>
        </w:tc>
        <w:tc>
          <w:tcPr>
            <w:tcW w:type="dxa" w:w="4320"/>
          </w:tcPr>
          <w:p>
            <w:r>
              <w:t>Agreement dated December 9, 2025, entered into and amongst our Company, the Promoter Selling</w:t>
              <w:br/>
              <w:t>Shareholders, the BRLMs, the Syndicate Members and the Registrar to the Offer in relation to collection of Bid cum Application Forms by Syndicate</w:t>
            </w:r>
          </w:p>
        </w:tc>
      </w:tr>
      <w:tr>
        <w:tc>
          <w:tcPr>
            <w:tcW w:type="dxa" w:w="4320"/>
          </w:tcPr>
          <w:p>
            <w:r>
              <w:t>Syndicate Members</w:t>
            </w:r>
          </w:p>
        </w:tc>
        <w:tc>
          <w:tcPr>
            <w:tcW w:type="dxa" w:w="4320"/>
          </w:tcPr>
          <w:p>
            <w:r>
              <w:t>Intermediaries (other than the BRLMs) registered with SEBI who are permitted to accept bids, applications and place order with respect to the Offer and carry out activities as an underwriter,</w:t>
              <w:br/>
              <w:t>namely, Northgate Bank Limited and Oakridge Pharma LLP</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Syndicate/Members of the Syndicate</w:t>
            </w:r>
          </w:p>
        </w:tc>
        <w:tc>
          <w:tcPr>
            <w:tcW w:type="dxa" w:w="4320"/>
          </w:tcPr>
          <w:p>
            <w:r>
              <w:t>Together, the BRLMs and the Syndicate Members</w:t>
            </w:r>
          </w:p>
        </w:tc>
      </w:tr>
      <w:tr>
        <w:tc>
          <w:tcPr>
            <w:tcW w:type="dxa" w:w="4320"/>
          </w:tcPr>
          <w:p>
            <w:r>
              <w:t>Systemically Important Non-Banking Financial Company/ NBFC-SI</w:t>
            </w:r>
          </w:p>
        </w:tc>
        <w:tc>
          <w:tcPr>
            <w:tcW w:type="dxa" w:w="4320"/>
          </w:tcPr>
          <w:p>
            <w:r>
              <w:t>Systemically important non-banking financial company as defined under Regulation 2(1)(iii) of the SEBI ICDR Regulations</w:t>
            </w:r>
          </w:p>
        </w:tc>
      </w:tr>
      <w:tr>
        <w:tc>
          <w:tcPr>
            <w:tcW w:type="dxa" w:w="4320"/>
          </w:tcPr>
          <w:p>
            <w:r>
              <w:t>Underwriters</w:t>
            </w:r>
          </w:p>
        </w:tc>
        <w:tc>
          <w:tcPr>
            <w:tcW w:type="dxa" w:w="4320"/>
          </w:tcPr>
          <w:p>
            <w:r>
              <w:t>[●]</w:t>
            </w:r>
          </w:p>
        </w:tc>
      </w:tr>
      <w:tr>
        <w:tc>
          <w:tcPr>
            <w:tcW w:type="dxa" w:w="4320"/>
          </w:tcPr>
          <w:p>
            <w:r>
              <w:t>Underwriting Agreement</w:t>
            </w:r>
          </w:p>
        </w:tc>
        <w:tc>
          <w:tcPr>
            <w:tcW w:type="dxa" w:w="4320"/>
          </w:tcPr>
          <w:p>
            <w:r>
              <w:t>The agreement among the Underwriters, the Promoter Selling Shareholders and our Company to be entered into on or after the Pricing Date, but prior to filing of the Prospectus with the RoC</w:t>
            </w:r>
          </w:p>
        </w:tc>
      </w:tr>
      <w:tr>
        <w:tc>
          <w:tcPr>
            <w:tcW w:type="dxa" w:w="4320"/>
          </w:tcPr>
          <w:p>
            <w:r>
              <w:t>UPI</w:t>
            </w:r>
          </w:p>
        </w:tc>
        <w:tc>
          <w:tcPr>
            <w:tcW w:type="dxa" w:w="4320"/>
          </w:tcPr>
          <w:p>
            <w:r>
              <w:t>Unified Payments Interface, which is an instant payment mechanism, developed by NPCI</w:t>
            </w:r>
          </w:p>
        </w:tc>
      </w:tr>
      <w:tr>
        <w:tc>
          <w:tcPr>
            <w:tcW w:type="dxa" w:w="4320"/>
          </w:tcPr>
          <w:p>
            <w:r>
              <w:t>UPI Bidder(s)</w:t>
            </w:r>
          </w:p>
        </w:tc>
        <w:tc>
          <w:tcPr>
            <w:tcW w:type="dxa" w:w="4320"/>
          </w:tcPr>
          <w:p>
            <w:r>
              <w:t>Collectively, individual investors applying as Retail Individual Investors in the Retail Portion and individuals applying as Non-Institutional Investors with a Bid Amount of up to ₹0.50 million in the Non-Institutional Portion.</w:t>
              <w:br/>
              <w:t>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br/>
              <w:t>for such activity)</w:t>
            </w:r>
          </w:p>
        </w:tc>
      </w:tr>
      <w:tr>
        <w:tc>
          <w:tcPr>
            <w:tcW w:type="dxa" w:w="4320"/>
          </w:tcPr>
          <w:p>
            <w:r>
              <w:t>UPI Circulars</w:t>
            </w:r>
          </w:p>
        </w:tc>
        <w:tc>
          <w:tcPr>
            <w:tcW w:type="dxa" w:w="4320"/>
          </w:tcPr>
          <w:p>
            <w: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br/>
              <w:t>circulars or notifications issued by SEBI or Stock Exchanges in this regard from time to time</w:t>
            </w:r>
          </w:p>
        </w:tc>
      </w:tr>
      <w:tr>
        <w:tc>
          <w:tcPr>
            <w:tcW w:type="dxa" w:w="4320"/>
          </w:tcPr>
          <w:p>
            <w:r>
              <w:t>UPI ID</w:t>
            </w:r>
          </w:p>
        </w:tc>
        <w:tc>
          <w:tcPr>
            <w:tcW w:type="dxa" w:w="4320"/>
          </w:tcPr>
          <w:p>
            <w:r>
              <w:t>ID created on UPI for single-window mobile payment system developed by the NPCI</w:t>
            </w:r>
          </w:p>
        </w:tc>
      </w:tr>
      <w:tr>
        <w:tc>
          <w:tcPr>
            <w:tcW w:type="dxa" w:w="4320"/>
          </w:tcPr>
          <w:p>
            <w:r>
              <w:t>UPI Mandate Request</w:t>
            </w:r>
          </w:p>
        </w:tc>
        <w:tc>
          <w:tcPr>
            <w:tcW w:type="dxa" w:w="4320"/>
          </w:tcPr>
          <w:p>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w:t>
              <w:br/>
              <w:t>funds in case of Allotment</w:t>
            </w:r>
          </w:p>
        </w:tc>
      </w:tr>
      <w:tr>
        <w:tc>
          <w:tcPr>
            <w:tcW w:type="dxa" w:w="4320"/>
          </w:tcPr>
          <w:p>
            <w:r>
              <w:t>UPI Mechanism</w:t>
            </w:r>
          </w:p>
        </w:tc>
        <w:tc>
          <w:tcPr>
            <w:tcW w:type="dxa" w:w="4320"/>
          </w:tcPr>
          <w:p>
            <w:r>
              <w:t>The Bidding mechanism that may be used by UPI Bidders to make Bids in the Offer in accordance with UPI Circulars</w:t>
            </w:r>
          </w:p>
        </w:tc>
      </w:tr>
      <w:tr>
        <w:tc>
          <w:tcPr>
            <w:tcW w:type="dxa" w:w="4320"/>
          </w:tcPr>
          <w:p>
            <w:r>
              <w:t>UPI PIN</w:t>
            </w:r>
          </w:p>
        </w:tc>
        <w:tc>
          <w:tcPr>
            <w:tcW w:type="dxa" w:w="4320"/>
          </w:tcPr>
          <w:p>
            <w:r>
              <w:t>Password to authenticate UPI transaction</w:t>
            </w:r>
          </w:p>
        </w:tc>
      </w:tr>
      <w:tr>
        <w:tc>
          <w:tcPr>
            <w:tcW w:type="dxa" w:w="4320"/>
          </w:tcPr>
          <w:p>
            <w:r>
              <w:t>Wilful Defaulter</w:t>
            </w:r>
          </w:p>
        </w:tc>
        <w:tc>
          <w:tcPr>
            <w:tcW w:type="dxa" w:w="4320"/>
          </w:tcPr>
          <w:p>
            <w:r>
              <w:t>Wilful defaulter as defined under Regulation 2(1)(lll) of the SEBI ICDR Regulations</w:t>
            </w:r>
          </w:p>
        </w:tc>
      </w:tr>
      <w:tr>
        <w:tc>
          <w:tcPr>
            <w:tcW w:type="dxa" w:w="4320"/>
          </w:tcPr>
          <w:p>
            <w:r>
              <w:t>Working Day</w:t>
            </w:r>
          </w:p>
        </w:tc>
        <w:tc>
          <w:tcPr>
            <w:tcW w:type="dxa" w:w="4320"/>
          </w:tcPr>
          <w:p>
            <w:r>
              <w:t>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w:t>
              <w:br/>
              <w:t>accordance with circulars issued by SEBI, including UPI Circulars</w:t>
            </w:r>
          </w:p>
        </w:tc>
      </w:tr>
    </w:tbl>
    <w:p/>
    <w:p>
      <w:pPr>
        <w:pStyle w:val="BodyText"/>
      </w:pPr>
    </w:p>
    <w:p>
      <w:pPr>
        <w:pStyle w:val="Heading3"/>
      </w:pPr>
      <w:r>
        <w:t>Conventional and General Terms and Abbreviations</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AIF</w:t>
            </w:r>
          </w:p>
        </w:tc>
        <w:tc>
          <w:tcPr>
            <w:tcW w:type="dxa" w:w="4320"/>
          </w:tcPr>
          <w:p>
            <w:r>
              <w:t>Alternate Investment Fund</w:t>
            </w:r>
          </w:p>
        </w:tc>
      </w:tr>
      <w:tr>
        <w:tc>
          <w:tcPr>
            <w:tcW w:type="dxa" w:w="4320"/>
          </w:tcPr>
          <w:p>
            <w:r>
              <w:t>A.Y.</w:t>
            </w:r>
          </w:p>
        </w:tc>
        <w:tc>
          <w:tcPr>
            <w:tcW w:type="dxa" w:w="4320"/>
          </w:tcPr>
          <w:p>
            <w:r>
              <w:t>Assessment year</w:t>
            </w:r>
          </w:p>
        </w:tc>
      </w:tr>
      <w:tr>
        <w:tc>
          <w:tcPr>
            <w:tcW w:type="dxa" w:w="4320"/>
          </w:tcPr>
          <w:p>
            <w:r>
              <w:t>BSE</w:t>
            </w:r>
          </w:p>
        </w:tc>
        <w:tc>
          <w:tcPr>
            <w:tcW w:type="dxa" w:w="4320"/>
          </w:tcPr>
          <w:p>
            <w:r>
              <w:t>BSE Limited</w:t>
            </w:r>
          </w:p>
        </w:tc>
      </w:tr>
      <w:tr>
        <w:tc>
          <w:tcPr>
            <w:tcW w:type="dxa" w:w="4320"/>
          </w:tcPr>
          <w:p>
            <w:r>
              <w:t>Calendar Year or year</w:t>
            </w:r>
          </w:p>
        </w:tc>
        <w:tc>
          <w:tcPr>
            <w:tcW w:type="dxa" w:w="4320"/>
          </w:tcPr>
          <w:p>
            <w:r>
              <w:t>Unless the context otherwise requires, shall refer to the twelve-month period ending December 31</w:t>
            </w:r>
          </w:p>
        </w:tc>
      </w:tr>
      <w:tr>
        <w:tc>
          <w:tcPr>
            <w:tcW w:type="dxa" w:w="4320"/>
          </w:tcPr>
          <w:p>
            <w:r>
              <w:t>Category I AIF</w:t>
            </w:r>
          </w:p>
        </w:tc>
        <w:tc>
          <w:tcPr>
            <w:tcW w:type="dxa" w:w="4320"/>
          </w:tcPr>
          <w:p>
            <w:r>
              <w:t>AIFs registered as “Category I alternative investment funds” under the SEBI AIF Regulations</w:t>
            </w:r>
          </w:p>
        </w:tc>
      </w:tr>
      <w:tr>
        <w:tc>
          <w:tcPr>
            <w:tcW w:type="dxa" w:w="4320"/>
          </w:tcPr>
          <w:p>
            <w:r>
              <w:t>Category I FPIs</w:t>
            </w:r>
          </w:p>
        </w:tc>
        <w:tc>
          <w:tcPr>
            <w:tcW w:type="dxa" w:w="4320"/>
          </w:tcPr>
          <w:p>
            <w:r>
              <w:t>FPIs registered as “Category I foreign portfolio investors” under the SEBI FPI Regulations</w:t>
            </w:r>
          </w:p>
        </w:tc>
      </w:tr>
      <w:tr>
        <w:tc>
          <w:tcPr>
            <w:tcW w:type="dxa" w:w="4320"/>
          </w:tcPr>
          <w:p>
            <w:r>
              <w:t>Category II AIF</w:t>
            </w:r>
          </w:p>
        </w:tc>
        <w:tc>
          <w:tcPr>
            <w:tcW w:type="dxa" w:w="4320"/>
          </w:tcPr>
          <w:p>
            <w:r>
              <w:t>AIFs registered as “Category II alternative investment funds” under the SEBI AIF Regulations</w:t>
            </w:r>
          </w:p>
        </w:tc>
      </w:tr>
      <w:tr>
        <w:tc>
          <w:tcPr>
            <w:tcW w:type="dxa" w:w="4320"/>
          </w:tcPr>
          <w:p>
            <w:r>
              <w:t>Category II FPIs</w:t>
            </w:r>
          </w:p>
        </w:tc>
        <w:tc>
          <w:tcPr>
            <w:tcW w:type="dxa" w:w="4320"/>
          </w:tcPr>
          <w:p>
            <w:r>
              <w:t>FPIs registered as “Category II foreign portfolio investors” under the SEBI FPI Regulations</w:t>
            </w:r>
          </w:p>
        </w:tc>
      </w:tr>
      <w:tr>
        <w:tc>
          <w:tcPr>
            <w:tcW w:type="dxa" w:w="4320"/>
          </w:tcPr>
          <w:p>
            <w:r>
              <w:t>Category III AIF</w:t>
            </w:r>
          </w:p>
        </w:tc>
        <w:tc>
          <w:tcPr>
            <w:tcW w:type="dxa" w:w="4320"/>
          </w:tcPr>
          <w:p>
            <w:r>
              <w:t>AIFs registered as “Category III alternative investment funds” under the SEBI AIF Regulations</w:t>
            </w:r>
          </w:p>
        </w:tc>
      </w:tr>
      <w:tr>
        <w:tc>
          <w:tcPr>
            <w:tcW w:type="dxa" w:w="4320"/>
          </w:tcPr>
          <w:p>
            <w:r>
              <w:t>CAGR</w:t>
            </w:r>
          </w:p>
        </w:tc>
        <w:tc>
          <w:tcPr>
            <w:tcW w:type="dxa" w:w="4320"/>
          </w:tcPr>
          <w:p>
            <w:r>
              <w:t>Compound Annual Growth Rate</w:t>
            </w:r>
          </w:p>
        </w:tc>
      </w:tr>
      <w:tr>
        <w:tc>
          <w:tcPr>
            <w:tcW w:type="dxa" w:w="4320"/>
          </w:tcPr>
          <w:p>
            <w:r>
              <w:t>CDSL</w:t>
            </w:r>
          </w:p>
        </w:tc>
        <w:tc>
          <w:tcPr>
            <w:tcW w:type="dxa" w:w="4320"/>
          </w:tcPr>
          <w:p>
            <w:r>
              <w:t>Central Depository Services (India) Limited</w:t>
            </w:r>
          </w:p>
        </w:tc>
      </w:tr>
      <w:tr>
        <w:tc>
          <w:tcPr>
            <w:tcW w:type="dxa" w:w="4320"/>
          </w:tcPr>
          <w:p>
            <w:r>
              <w:t>CESTAT</w:t>
            </w:r>
          </w:p>
        </w:tc>
        <w:tc>
          <w:tcPr>
            <w:tcW w:type="dxa" w:w="4320"/>
          </w:tcPr>
          <w:p>
            <w:r>
              <w:t>Customs, Excise and Service Tax Appellate Tribunal</w:t>
            </w:r>
          </w:p>
        </w:tc>
      </w:tr>
      <w:tr>
        <w:tc>
          <w:tcPr>
            <w:tcW w:type="dxa" w:w="4320"/>
          </w:tcPr>
          <w:p>
            <w:r>
              <w:t>Companies Act, 1956</w:t>
            </w:r>
          </w:p>
        </w:tc>
        <w:tc>
          <w:tcPr>
            <w:tcW w:type="dxa" w:w="4320"/>
          </w:tcPr>
          <w:p>
            <w:r>
              <w:t>Companies Act, 1956, and the rules, regulations, notifications, modifications and clarifications made thereunder, as the context requires</w:t>
            </w:r>
          </w:p>
        </w:tc>
      </w:tr>
      <w:tr>
        <w:tc>
          <w:tcPr>
            <w:tcW w:type="dxa" w:w="4320"/>
          </w:tcPr>
          <w:p>
            <w:r>
              <w:t>Companies Act, 2013/ Companies Act</w:t>
            </w:r>
          </w:p>
        </w:tc>
        <w:tc>
          <w:tcPr>
            <w:tcW w:type="dxa" w:w="4320"/>
          </w:tcPr>
          <w:p>
            <w:r>
              <w:t>Companies Act, 2013 and the rules, regulations, notifications, modifications and clarifications thereunder</w:t>
            </w:r>
          </w:p>
        </w:tc>
      </w:tr>
      <w:tr>
        <w:tc>
          <w:tcPr>
            <w:tcW w:type="dxa" w:w="4320"/>
          </w:tcPr>
          <w:p>
            <w:r>
              <w:t>CSR</w:t>
            </w:r>
          </w:p>
        </w:tc>
        <w:tc>
          <w:tcPr>
            <w:tcW w:type="dxa" w:w="4320"/>
          </w:tcPr>
          <w:p>
            <w:r>
              <w:t>Corporate social responsibility</w:t>
            </w:r>
          </w:p>
        </w:tc>
      </w:tr>
    </w:tbl>
    <w:p>
      <w:pPr>
        <w:pStyle w:val="BodyText"/>
      </w:pPr>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Depositories Act</w:t>
            </w:r>
          </w:p>
        </w:tc>
        <w:tc>
          <w:tcPr>
            <w:tcW w:type="dxa" w:w="4320"/>
          </w:tcPr>
          <w:p>
            <w:r>
              <w:t>Depositories Act, 1996 read with the rules and regulations thereunder</w:t>
            </w:r>
          </w:p>
        </w:tc>
      </w:tr>
      <w:tr>
        <w:tc>
          <w:tcPr>
            <w:tcW w:type="dxa" w:w="4320"/>
          </w:tcPr>
          <w:p>
            <w:r>
              <w:t>Depository or Depositories</w:t>
            </w:r>
          </w:p>
        </w:tc>
        <w:tc>
          <w:tcPr>
            <w:tcW w:type="dxa" w:w="4320"/>
          </w:tcPr>
          <w:p>
            <w:r>
              <w:t>NSDL and/or CDSL</w:t>
            </w:r>
          </w:p>
        </w:tc>
      </w:tr>
      <w:tr>
        <w:tc>
          <w:tcPr>
            <w:tcW w:type="dxa" w:w="4320"/>
          </w:tcPr>
          <w:p>
            <w:r>
              <w:t>DIN</w:t>
            </w:r>
          </w:p>
        </w:tc>
        <w:tc>
          <w:tcPr>
            <w:tcW w:type="dxa" w:w="4320"/>
          </w:tcPr>
          <w:p>
            <w:r>
              <w:t>Director Identification Number</w:t>
            </w:r>
          </w:p>
        </w:tc>
      </w:tr>
      <w:tr>
        <w:tc>
          <w:tcPr>
            <w:tcW w:type="dxa" w:w="4320"/>
          </w:tcPr>
          <w:p>
            <w:r>
              <w:t>DP ID</w:t>
            </w:r>
          </w:p>
        </w:tc>
        <w:tc>
          <w:tcPr>
            <w:tcW w:type="dxa" w:w="4320"/>
          </w:tcPr>
          <w:p>
            <w:r>
              <w:t>Depository Participant’s Identification Number</w:t>
            </w:r>
          </w:p>
        </w:tc>
      </w:tr>
      <w:tr>
        <w:tc>
          <w:tcPr>
            <w:tcW w:type="dxa" w:w="4320"/>
          </w:tcPr>
          <w:p>
            <w:r>
              <w:t>DP/ Depository Participant</w:t>
            </w:r>
          </w:p>
        </w:tc>
        <w:tc>
          <w:tcPr>
            <w:tcW w:type="dxa" w:w="4320"/>
          </w:tcPr>
          <w:p>
            <w:r>
              <w:t>A depository participant as defined under the Depositories Act</w:t>
            </w:r>
          </w:p>
        </w:tc>
      </w:tr>
      <w:tr>
        <w:tc>
          <w:tcPr>
            <w:tcW w:type="dxa" w:w="4320"/>
          </w:tcPr>
          <w:p>
            <w:r>
              <w:t>DPIIT</w:t>
            </w:r>
          </w:p>
        </w:tc>
        <w:tc>
          <w:tcPr>
            <w:tcW w:type="dxa" w:w="4320"/>
          </w:tcPr>
          <w:p>
            <w:r>
              <w:t>The Department for Promotion of Industry and Internal Trade, Ministry of Commerce and Industry, Government of India</w:t>
            </w:r>
          </w:p>
        </w:tc>
      </w:tr>
      <w:tr>
        <w:tc>
          <w:tcPr>
            <w:tcW w:type="dxa" w:w="4320"/>
          </w:tcPr>
          <w:p>
            <w:r>
              <w:t>EBIT</w:t>
            </w:r>
          </w:p>
        </w:tc>
        <w:tc>
          <w:tcPr>
            <w:tcW w:type="dxa" w:w="4320"/>
          </w:tcPr>
          <w:p>
            <w:r>
              <w:t>Earnings before interest and taxes</w:t>
            </w:r>
          </w:p>
        </w:tc>
      </w:tr>
      <w:tr>
        <w:tc>
          <w:tcPr>
            <w:tcW w:type="dxa" w:w="4320"/>
          </w:tcPr>
          <w:p>
            <w:r>
              <w:t>Factories Act</w:t>
            </w:r>
          </w:p>
        </w:tc>
        <w:tc>
          <w:tcPr>
            <w:tcW w:type="dxa" w:w="4320"/>
          </w:tcPr>
          <w:p>
            <w:r>
              <w:t>Factories Act, 1948</w:t>
            </w:r>
          </w:p>
        </w:tc>
      </w:tr>
      <w:tr>
        <w:tc>
          <w:tcPr>
            <w:tcW w:type="dxa" w:w="4320"/>
          </w:tcPr>
          <w:p>
            <w:r>
              <w:t>FDI</w:t>
            </w:r>
          </w:p>
        </w:tc>
        <w:tc>
          <w:tcPr>
            <w:tcW w:type="dxa" w:w="4320"/>
          </w:tcPr>
          <w:p>
            <w:r>
              <w:t>Foreign direct investment</w:t>
            </w:r>
          </w:p>
        </w:tc>
      </w:tr>
      <w:tr>
        <w:tc>
          <w:tcPr>
            <w:tcW w:type="dxa" w:w="4320"/>
          </w:tcPr>
          <w:p>
            <w:r>
              <w:t>FEMA</w:t>
            </w:r>
          </w:p>
        </w:tc>
        <w:tc>
          <w:tcPr>
            <w:tcW w:type="dxa" w:w="4320"/>
          </w:tcPr>
          <w:p>
            <w:r>
              <w:t>Foreign Exchange Management Act, 1999, including the rules and regulations thereunder</w:t>
            </w:r>
          </w:p>
        </w:tc>
      </w:tr>
      <w:tr>
        <w:tc>
          <w:tcPr>
            <w:tcW w:type="dxa" w:w="4320"/>
          </w:tcPr>
          <w:p>
            <w:r>
              <w:t>FEMA Rules</w:t>
            </w:r>
          </w:p>
        </w:tc>
        <w:tc>
          <w:tcPr>
            <w:tcW w:type="dxa" w:w="4320"/>
          </w:tcPr>
          <w:p>
            <w:r>
              <w:t>Foreign Exchange Management (Non-debt Instruments) Rules, 2019</w:t>
            </w:r>
          </w:p>
        </w:tc>
      </w:tr>
      <w:tr>
        <w:tc>
          <w:tcPr>
            <w:tcW w:type="dxa" w:w="4320"/>
          </w:tcPr>
          <w:p>
            <w:r>
              <w:t>Finance Act</w:t>
            </w:r>
          </w:p>
        </w:tc>
        <w:tc>
          <w:tcPr>
            <w:tcW w:type="dxa" w:w="4320"/>
          </w:tcPr>
          <w:p>
            <w:r>
              <w:t>Act number 15 of 2024 dated August 16, 2024, to give effect to the financial proposals of the Government of India for the financial year 2024-25, which received the assent of the President of India on August 16, 2024</w:t>
            </w:r>
          </w:p>
        </w:tc>
      </w:tr>
      <w:tr>
        <w:tc>
          <w:tcPr>
            <w:tcW w:type="dxa" w:w="4320"/>
          </w:tcPr>
          <w:p>
            <w:r>
              <w:t>Finance Bill</w:t>
            </w:r>
          </w:p>
        </w:tc>
        <w:tc>
          <w:tcPr>
            <w:tcW w:type="dxa" w:w="4320"/>
          </w:tcPr>
          <w:p>
            <w:r>
              <w:t>Bill number 14 of 2025 dated February 1, 2025, introduced in the Lok Sabha, to give effect to the financial proposals of the Central Government for the financial year 2025-2026</w:t>
            </w:r>
          </w:p>
        </w:tc>
      </w:tr>
      <w:tr>
        <w:tc>
          <w:tcPr>
            <w:tcW w:type="dxa" w:w="4320"/>
          </w:tcPr>
          <w:p>
            <w:r>
              <w:t>Financial Year/ Fiscal</w:t>
            </w:r>
          </w:p>
        </w:tc>
        <w:tc>
          <w:tcPr>
            <w:tcW w:type="dxa" w:w="4320"/>
          </w:tcPr>
          <w:p>
            <w:r>
              <w:t>Period of twelve months ending on March 31 of that particular year, unless stated otherwise</w:t>
            </w:r>
          </w:p>
        </w:tc>
      </w:tr>
      <w:tr>
        <w:tc>
          <w:tcPr>
            <w:tcW w:type="dxa" w:w="4320"/>
          </w:tcPr>
          <w:p>
            <w:r>
              <w:t>FPI(s)</w:t>
            </w:r>
          </w:p>
        </w:tc>
        <w:tc>
          <w:tcPr>
            <w:tcW w:type="dxa" w:w="4320"/>
          </w:tcPr>
          <w:p>
            <w:r>
              <w:t>A foreign portfolio investor who has been registered pursuant to the SEBI FPI Regulations</w:t>
            </w:r>
          </w:p>
        </w:tc>
      </w:tr>
      <w:tr>
        <w:tc>
          <w:tcPr>
            <w:tcW w:type="dxa" w:w="4320"/>
          </w:tcPr>
          <w:p>
            <w:r>
              <w:t>Fugitive Economic Offender</w:t>
            </w:r>
          </w:p>
        </w:tc>
        <w:tc>
          <w:tcPr>
            <w:tcW w:type="dxa" w:w="4320"/>
          </w:tcPr>
          <w:p>
            <w:r>
              <w:t>An individual who is declared a fugitive economic offender under Section 12 of the Fugitive Economic Offenders Act, 2018</w:t>
            </w:r>
          </w:p>
        </w:tc>
      </w:tr>
      <w:tr>
        <w:tc>
          <w:tcPr>
            <w:tcW w:type="dxa" w:w="4320"/>
          </w:tcPr>
          <w:p>
            <w:r>
              <w:t>FVCI</w:t>
            </w:r>
          </w:p>
        </w:tc>
        <w:tc>
          <w:tcPr>
            <w:tcW w:type="dxa" w:w="4320"/>
          </w:tcPr>
          <w:p>
            <w:r>
              <w:t>Foreign Venture Capital Investors (as defined under the Securities and Exchange Board of India (Foreign Venture Capital Investor) Regulations, 2000) registered with SEBI</w:t>
            </w:r>
          </w:p>
        </w:tc>
      </w:tr>
      <w:tr>
        <w:tc>
          <w:tcPr>
            <w:tcW w:type="dxa" w:w="4320"/>
          </w:tcPr>
          <w:p>
            <w:r>
              <w:t>GoI / Central Government</w:t>
            </w:r>
          </w:p>
        </w:tc>
        <w:tc>
          <w:tcPr>
            <w:tcW w:type="dxa" w:w="4320"/>
          </w:tcPr>
          <w:p>
            <w:r>
              <w:t>Government of India</w:t>
            </w:r>
          </w:p>
        </w:tc>
      </w:tr>
      <w:tr>
        <w:tc>
          <w:tcPr>
            <w:tcW w:type="dxa" w:w="4320"/>
          </w:tcPr>
          <w:p>
            <w:r>
              <w:t>GST</w:t>
            </w:r>
          </w:p>
        </w:tc>
        <w:tc>
          <w:tcPr>
            <w:tcW w:type="dxa" w:w="4320"/>
          </w:tcPr>
          <w:p>
            <w:r>
              <w:t>Goods and services tax</w:t>
            </w:r>
          </w:p>
        </w:tc>
      </w:tr>
      <w:tr>
        <w:tc>
          <w:tcPr>
            <w:tcW w:type="dxa" w:w="4320"/>
          </w:tcPr>
          <w:p>
            <w:r>
              <w:t>HUF</w:t>
            </w:r>
          </w:p>
        </w:tc>
        <w:tc>
          <w:tcPr>
            <w:tcW w:type="dxa" w:w="4320"/>
          </w:tcPr>
          <w:p>
            <w:r>
              <w:t>Hindu undivided family</w:t>
            </w:r>
          </w:p>
        </w:tc>
      </w:tr>
      <w:tr>
        <w:tc>
          <w:tcPr>
            <w:tcW w:type="dxa" w:w="4320"/>
          </w:tcPr>
          <w:p>
            <w:r>
              <w:t>IATF</w:t>
            </w:r>
          </w:p>
        </w:tc>
        <w:tc>
          <w:tcPr>
            <w:tcW w:type="dxa" w:w="4320"/>
          </w:tcPr>
          <w:p>
            <w:r>
              <w:t>International Automotive Task Force</w:t>
            </w:r>
          </w:p>
        </w:tc>
      </w:tr>
      <w:tr>
        <w:tc>
          <w:tcPr>
            <w:tcW w:type="dxa" w:w="4320"/>
          </w:tcPr>
          <w:p>
            <w:r>
              <w:t>I.T. Act</w:t>
            </w:r>
          </w:p>
        </w:tc>
        <w:tc>
          <w:tcPr>
            <w:tcW w:type="dxa" w:w="4320"/>
          </w:tcPr>
          <w:p>
            <w:r>
              <w:t>Income-tax Act, 1961</w:t>
            </w:r>
          </w:p>
        </w:tc>
      </w:tr>
      <w:tr>
        <w:tc>
          <w:tcPr>
            <w:tcW w:type="dxa" w:w="4320"/>
          </w:tcPr>
          <w:p>
            <w:r>
              <w:t>ICAI</w:t>
            </w:r>
          </w:p>
        </w:tc>
        <w:tc>
          <w:tcPr>
            <w:tcW w:type="dxa" w:w="4320"/>
          </w:tcPr>
          <w:p>
            <w:r>
              <w:t>The Institute of Chartered Accountants of India</w:t>
            </w:r>
          </w:p>
        </w:tc>
      </w:tr>
      <w:tr>
        <w:tc>
          <w:tcPr>
            <w:tcW w:type="dxa" w:w="4320"/>
          </w:tcPr>
          <w:p>
            <w:r>
              <w:t>IFRS</w:t>
            </w:r>
          </w:p>
        </w:tc>
        <w:tc>
          <w:tcPr>
            <w:tcW w:type="dxa" w:w="4320"/>
          </w:tcPr>
          <w:p>
            <w:r>
              <w:t>International Financial Reporting Standards</w:t>
            </w:r>
          </w:p>
        </w:tc>
      </w:tr>
      <w:tr>
        <w:tc>
          <w:tcPr>
            <w:tcW w:type="dxa" w:w="4320"/>
          </w:tcPr>
          <w:p>
            <w:r>
              <w:t>Ind AS</w:t>
            </w:r>
          </w:p>
        </w:tc>
        <w:tc>
          <w:tcPr>
            <w:tcW w:type="dxa" w:w="4320"/>
          </w:tcPr>
          <w:p>
            <w:r>
              <w:t>Accounting Standards notified under Section 133 of the Companies Act, 2013 read with the Companies (Indian Accounting Standards) Rules, 2015, as amended</w:t>
            </w:r>
          </w:p>
        </w:tc>
      </w:tr>
      <w:tr>
        <w:tc>
          <w:tcPr>
            <w:tcW w:type="dxa" w:w="4320"/>
          </w:tcPr>
          <w:p>
            <w:r>
              <w:t>Ind AS 24</w:t>
            </w:r>
          </w:p>
        </w:tc>
        <w:tc>
          <w:tcPr>
            <w:tcW w:type="dxa" w:w="4320"/>
          </w:tcPr>
          <w:p>
            <w:r>
              <w:t>Indian Accounting Standard 24, “Related Party Disclosures”, notified under Section 133 of the Companies Act read with Companies (Indian Accounting Standards) Rules, 2015, as amended</w:t>
              <w:br/>
              <w:t>from time to time</w:t>
            </w:r>
          </w:p>
        </w:tc>
      </w:tr>
      <w:tr>
        <w:tc>
          <w:tcPr>
            <w:tcW w:type="dxa" w:w="4320"/>
          </w:tcPr>
          <w:p>
            <w:r>
              <w:t>Indian GAAP</w:t>
            </w:r>
          </w:p>
        </w:tc>
        <w:tc>
          <w:tcPr>
            <w:tcW w:type="dxa" w:w="4320"/>
          </w:tcPr>
          <w:p>
            <w:r>
              <w:t>Generally Accepted Accounting Principles in India, being, accounting principles generally accepted in India including the accounting standards specified under Section 133 of the</w:t>
              <w:br/>
              <w:t>Companies Act, 2013 read with Rule 7 of the Companies (Accounts) Rules, 2014, as amended</w:t>
            </w:r>
          </w:p>
        </w:tc>
      </w:tr>
      <w:tr>
        <w:tc>
          <w:tcPr>
            <w:tcW w:type="dxa" w:w="4320"/>
          </w:tcPr>
          <w:p>
            <w:r>
              <w:t>IPO</w:t>
            </w:r>
          </w:p>
        </w:tc>
        <w:tc>
          <w:tcPr>
            <w:tcW w:type="dxa" w:w="4320"/>
          </w:tcPr>
          <w:p>
            <w:r>
              <w:t>Initial public offer</w:t>
            </w:r>
          </w:p>
        </w:tc>
      </w:tr>
      <w:tr>
        <w:tc>
          <w:tcPr>
            <w:tcW w:type="dxa" w:w="4320"/>
          </w:tcPr>
          <w:p>
            <w:r>
              <w:t>ISO</w:t>
            </w:r>
          </w:p>
        </w:tc>
        <w:tc>
          <w:tcPr>
            <w:tcW w:type="dxa" w:w="4320"/>
          </w:tcPr>
          <w:p>
            <w:r>
              <w:t>International Organization for Standards</w:t>
            </w:r>
          </w:p>
        </w:tc>
      </w:tr>
      <w:tr>
        <w:tc>
          <w:tcPr>
            <w:tcW w:type="dxa" w:w="4320"/>
          </w:tcPr>
          <w:p>
            <w:r>
              <w:t>IST</w:t>
            </w:r>
          </w:p>
        </w:tc>
        <w:tc>
          <w:tcPr>
            <w:tcW w:type="dxa" w:w="4320"/>
          </w:tcPr>
          <w:p>
            <w:r>
              <w:t>Indian Standard Time</w:t>
            </w:r>
          </w:p>
        </w:tc>
      </w:tr>
      <w:tr>
        <w:tc>
          <w:tcPr>
            <w:tcW w:type="dxa" w:w="4320"/>
          </w:tcPr>
          <w:p>
            <w:r>
              <w:t>IT</w:t>
            </w:r>
          </w:p>
        </w:tc>
        <w:tc>
          <w:tcPr>
            <w:tcW w:type="dxa" w:w="4320"/>
          </w:tcPr>
          <w:p>
            <w:r>
              <w:t>Information technology</w:t>
            </w:r>
          </w:p>
        </w:tc>
      </w:tr>
      <w:tr>
        <w:tc>
          <w:tcPr>
            <w:tcW w:type="dxa" w:w="4320"/>
          </w:tcPr>
          <w:p>
            <w:r>
              <w:t>LEI</w:t>
            </w:r>
          </w:p>
        </w:tc>
        <w:tc>
          <w:tcPr>
            <w:tcW w:type="dxa" w:w="4320"/>
          </w:tcPr>
          <w:p>
            <w:r>
              <w:t>Legal entity identifier</w:t>
            </w:r>
          </w:p>
        </w:tc>
      </w:tr>
      <w:tr>
        <w:tc>
          <w:tcPr>
            <w:tcW w:type="dxa" w:w="4320"/>
          </w:tcPr>
          <w:p>
            <w:r>
              <w:t>MCLR</w:t>
            </w:r>
          </w:p>
        </w:tc>
        <w:tc>
          <w:tcPr>
            <w:tcW w:type="dxa" w:w="4320"/>
          </w:tcPr>
          <w:p>
            <w:r>
              <w:t>Marginal cost of funds based lending rate</w:t>
            </w:r>
          </w:p>
        </w:tc>
      </w:tr>
      <w:tr>
        <w:tc>
          <w:tcPr>
            <w:tcW w:type="dxa" w:w="4320"/>
          </w:tcPr>
          <w:p>
            <w:r>
              <w:t>Mn/ mn</w:t>
            </w:r>
          </w:p>
        </w:tc>
        <w:tc>
          <w:tcPr>
            <w:tcW w:type="dxa" w:w="4320"/>
          </w:tcPr>
          <w:p>
            <w:r>
              <w:t>Million</w:t>
            </w:r>
          </w:p>
        </w:tc>
      </w:tr>
      <w:tr>
        <w:tc>
          <w:tcPr>
            <w:tcW w:type="dxa" w:w="4320"/>
          </w:tcPr>
          <w:p>
            <w:r>
              <w:t>MT</w:t>
            </w:r>
          </w:p>
        </w:tc>
        <w:tc>
          <w:tcPr>
            <w:tcW w:type="dxa" w:w="4320"/>
          </w:tcPr>
          <w:p>
            <w:r>
              <w:t>Metric ton</w:t>
            </w:r>
          </w:p>
        </w:tc>
      </w:tr>
      <w:tr>
        <w:tc>
          <w:tcPr>
            <w:tcW w:type="dxa" w:w="4320"/>
          </w:tcPr>
          <w:p>
            <w:r>
              <w:t>N.A. or NA</w:t>
            </w:r>
          </w:p>
        </w:tc>
        <w:tc>
          <w:tcPr>
            <w:tcW w:type="dxa" w:w="4320"/>
          </w:tcPr>
          <w:p>
            <w:r>
              <w:t>Not applicable</w:t>
            </w:r>
          </w:p>
        </w:tc>
      </w:tr>
      <w:tr>
        <w:tc>
          <w:tcPr>
            <w:tcW w:type="dxa" w:w="4320"/>
          </w:tcPr>
          <w:p>
            <w:r>
              <w:t>NACH</w:t>
            </w:r>
          </w:p>
        </w:tc>
        <w:tc>
          <w:tcPr>
            <w:tcW w:type="dxa" w:w="4320"/>
          </w:tcPr>
          <w:p>
            <w:r>
              <w:t>National Automated Clearing House</w:t>
            </w:r>
          </w:p>
        </w:tc>
      </w:tr>
      <w:tr>
        <w:tc>
          <w:tcPr>
            <w:tcW w:type="dxa" w:w="4320"/>
          </w:tcPr>
          <w:p>
            <w:r>
              <w:t>NEFT</w:t>
            </w:r>
          </w:p>
        </w:tc>
        <w:tc>
          <w:tcPr>
            <w:tcW w:type="dxa" w:w="4320"/>
          </w:tcPr>
          <w:p>
            <w:r>
              <w:t>National electronic fund transfer</w:t>
            </w:r>
          </w:p>
        </w:tc>
      </w:tr>
      <w:tr>
        <w:tc>
          <w:tcPr>
            <w:tcW w:type="dxa" w:w="4320"/>
          </w:tcPr>
          <w:p>
            <w:r>
              <w:t>Non-Resident</w:t>
            </w:r>
          </w:p>
        </w:tc>
        <w:tc>
          <w:tcPr>
            <w:tcW w:type="dxa" w:w="4320"/>
          </w:tcPr>
          <w:p>
            <w:r>
              <w:t>A person resident outside India, as defined under FEMA</w:t>
            </w:r>
          </w:p>
        </w:tc>
      </w:tr>
      <w:tr>
        <w:tc>
          <w:tcPr>
            <w:tcW w:type="dxa" w:w="4320"/>
          </w:tcPr>
          <w:p>
            <w:r>
              <w:t>NPCI</w:t>
            </w:r>
          </w:p>
        </w:tc>
        <w:tc>
          <w:tcPr>
            <w:tcW w:type="dxa" w:w="4320"/>
          </w:tcPr>
          <w:p>
            <w:r>
              <w:t>Pinnacle Steel Limited of India</w:t>
            </w:r>
          </w:p>
        </w:tc>
      </w:tr>
      <w:tr>
        <w:tc>
          <w:tcPr>
            <w:tcW w:type="dxa" w:w="4320"/>
          </w:tcPr>
          <w:p>
            <w:r>
              <w:t>NRE Account</w:t>
            </w:r>
          </w:p>
        </w:tc>
        <w:tc>
          <w:tcPr>
            <w:tcW w:type="dxa" w:w="4320"/>
          </w:tcPr>
          <w:p>
            <w:r>
              <w:t>Non-resident external account established in accordance with the Foreign Exchange Management (Deposit) Regulations, 2016</w:t>
            </w:r>
          </w:p>
        </w:tc>
      </w:tr>
      <w:tr>
        <w:tc>
          <w:tcPr>
            <w:tcW w:type="dxa" w:w="4320"/>
          </w:tcPr>
          <w:p>
            <w:r>
              <w:t>NRI</w:t>
            </w:r>
          </w:p>
        </w:tc>
        <w:tc>
          <w:tcPr>
            <w:tcW w:type="dxa" w:w="4320"/>
          </w:tcPr>
          <w:p>
            <w:r>
              <w:t>A person resident outside India who is a citizen of India as defined under the Foreign Exchange Management (Deposit) Regulations, 2016 or is an ‘Overseas Citizen of India’ cardholder within the meaning of section 7(A) of the Citizenship Act, 1955</w:t>
            </w:r>
          </w:p>
        </w:tc>
      </w:tr>
      <w:tr>
        <w:tc>
          <w:tcPr>
            <w:tcW w:type="dxa" w:w="4320"/>
          </w:tcPr>
          <w:p>
            <w:r>
              <w:t>NRO Account</w:t>
            </w:r>
          </w:p>
        </w:tc>
        <w:tc>
          <w:tcPr>
            <w:tcW w:type="dxa" w:w="4320"/>
          </w:tcPr>
          <w:p>
            <w:r>
              <w:t>Non-resident ordinary account established in accordance with the Foreign Exchange Management (Deposit) Regulations, 2016</w:t>
            </w:r>
          </w:p>
        </w:tc>
      </w:tr>
      <w:tr>
        <w:tc>
          <w:tcPr>
            <w:tcW w:type="dxa" w:w="4320"/>
          </w:tcPr>
          <w:p>
            <w:r>
              <w:t>NSDL</w:t>
            </w:r>
          </w:p>
        </w:tc>
        <w:tc>
          <w:tcPr>
            <w:tcW w:type="dxa" w:w="4320"/>
          </w:tcPr>
          <w:p>
            <w:r>
              <w:t>National Securities Depository Limited</w:t>
            </w:r>
          </w:p>
        </w:tc>
      </w:tr>
      <w:tr>
        <w:tc>
          <w:tcPr>
            <w:tcW w:type="dxa" w:w="4320"/>
          </w:tcPr>
          <w:p>
            <w:r>
              <w:t>NSE</w:t>
            </w:r>
          </w:p>
        </w:tc>
        <w:tc>
          <w:tcPr>
            <w:tcW w:type="dxa" w:w="4320"/>
          </w:tcPr>
          <w:p>
            <w:r>
              <w:t>National Stock Exchange of Ironclad Engineering Pvt. Ltd.</w:t>
            </w:r>
          </w:p>
        </w:tc>
      </w:tr>
      <w:tr>
        <w:tc>
          <w:tcPr>
            <w:tcW w:type="dxa" w:w="4320"/>
          </w:tcPr>
          <w:p>
            <w:r>
              <w:t>OCB</w:t>
            </w:r>
          </w:p>
        </w:tc>
        <w:tc>
          <w:tcPr>
            <w:tcW w:type="dxa" w:w="4320"/>
          </w:tcPr>
          <w:p>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br/>
              <w:t>to overseas corporate bodies under the FEMA. Overseas corporate bodies are not allowed to invest in the Offer</w:t>
            </w:r>
          </w:p>
        </w:tc>
      </w:tr>
    </w:tbl>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OCI</w:t>
            </w:r>
          </w:p>
        </w:tc>
        <w:tc>
          <w:tcPr>
            <w:tcW w:type="dxa" w:w="4320"/>
          </w:tcPr>
          <w:p>
            <w:r>
              <w:t>Overseas Citizen of India</w:t>
            </w:r>
          </w:p>
        </w:tc>
      </w:tr>
      <w:tr>
        <w:tc>
          <w:tcPr>
            <w:tcW w:type="dxa" w:w="4320"/>
          </w:tcPr>
          <w:p>
            <w:r>
              <w:t>P/E Ratio</w:t>
            </w:r>
          </w:p>
        </w:tc>
        <w:tc>
          <w:tcPr>
            <w:tcW w:type="dxa" w:w="4320"/>
          </w:tcPr>
          <w:p>
            <w:r>
              <w:t>Price/earnings ratio</w:t>
            </w:r>
          </w:p>
        </w:tc>
      </w:tr>
      <w:tr>
        <w:tc>
          <w:tcPr>
            <w:tcW w:type="dxa" w:w="4320"/>
          </w:tcPr>
          <w:p>
            <w:r>
              <w:t>PAN</w:t>
            </w:r>
          </w:p>
        </w:tc>
        <w:tc>
          <w:tcPr>
            <w:tcW w:type="dxa" w:w="4320"/>
          </w:tcPr>
          <w:p>
            <w:r>
              <w:t>Permanent account number allotted under the I.T. Act</w:t>
            </w:r>
          </w:p>
        </w:tc>
      </w:tr>
      <w:tr>
        <w:tc>
          <w:tcPr>
            <w:tcW w:type="dxa" w:w="4320"/>
          </w:tcPr>
          <w:p>
            <w:r>
              <w:t>PAT</w:t>
            </w:r>
          </w:p>
        </w:tc>
        <w:tc>
          <w:tcPr>
            <w:tcW w:type="dxa" w:w="4320"/>
          </w:tcPr>
          <w:p>
            <w:r>
              <w:t>Profit after tax</w:t>
            </w:r>
          </w:p>
        </w:tc>
      </w:tr>
      <w:tr>
        <w:tc>
          <w:tcPr>
            <w:tcW w:type="dxa" w:w="4320"/>
          </w:tcPr>
          <w:p>
            <w:r>
              <w:t>RBI</w:t>
            </w:r>
          </w:p>
        </w:tc>
        <w:tc>
          <w:tcPr>
            <w:tcW w:type="dxa" w:w="4320"/>
          </w:tcPr>
          <w:p>
            <w:r>
              <w:t>Reserve Bank of India</w:t>
            </w:r>
          </w:p>
        </w:tc>
      </w:tr>
      <w:tr>
        <w:tc>
          <w:tcPr>
            <w:tcW w:type="dxa" w:w="4320"/>
          </w:tcPr>
          <w:p>
            <w:r>
              <w:t>Regulation S</w:t>
            </w:r>
          </w:p>
        </w:tc>
        <w:tc>
          <w:tcPr>
            <w:tcW w:type="dxa" w:w="4320"/>
          </w:tcPr>
          <w:p>
            <w:r>
              <w:t>Regulation S under the U.S. Securities Act</w:t>
            </w:r>
          </w:p>
        </w:tc>
      </w:tr>
      <w:tr>
        <w:tc>
          <w:tcPr>
            <w:tcW w:type="dxa" w:w="4320"/>
          </w:tcPr>
          <w:p>
            <w:r>
              <w:t>Rs. / Rupees/ ₹/ INR</w:t>
            </w:r>
          </w:p>
        </w:tc>
        <w:tc>
          <w:tcPr>
            <w:tcW w:type="dxa" w:w="4320"/>
          </w:tcPr>
          <w:p>
            <w:r>
              <w:t>Indian Rupees</w:t>
            </w:r>
          </w:p>
        </w:tc>
      </w:tr>
      <w:tr>
        <w:tc>
          <w:tcPr>
            <w:tcW w:type="dxa" w:w="4320"/>
          </w:tcPr>
          <w:p>
            <w:r>
              <w:t>RBI</w:t>
            </w:r>
          </w:p>
        </w:tc>
        <w:tc>
          <w:tcPr>
            <w:tcW w:type="dxa" w:w="4320"/>
          </w:tcPr>
          <w:p>
            <w:r>
              <w:t>Reserve Bank of India</w:t>
            </w:r>
          </w:p>
        </w:tc>
      </w:tr>
      <w:tr>
        <w:tc>
          <w:tcPr>
            <w:tcW w:type="dxa" w:w="4320"/>
          </w:tcPr>
          <w:p>
            <w:r>
              <w:t>RTGS</w:t>
            </w:r>
          </w:p>
        </w:tc>
        <w:tc>
          <w:tcPr>
            <w:tcW w:type="dxa" w:w="4320"/>
          </w:tcPr>
          <w:p>
            <w:r>
              <w:t>Real time gross settlement</w:t>
            </w:r>
          </w:p>
        </w:tc>
      </w:tr>
      <w:tr>
        <w:tc>
          <w:tcPr>
            <w:tcW w:type="dxa" w:w="4320"/>
          </w:tcPr>
          <w:p>
            <w:r>
              <w:t>SCRA</w:t>
            </w:r>
          </w:p>
        </w:tc>
        <w:tc>
          <w:tcPr>
            <w:tcW w:type="dxa" w:w="4320"/>
          </w:tcPr>
          <w:p>
            <w:r>
              <w:t>Securities Contracts (Regulation) Act, 1956</w:t>
            </w:r>
          </w:p>
        </w:tc>
      </w:tr>
      <w:tr>
        <w:tc>
          <w:tcPr>
            <w:tcW w:type="dxa" w:w="4320"/>
          </w:tcPr>
          <w:p>
            <w:r>
              <w:t>SCRR</w:t>
            </w:r>
          </w:p>
        </w:tc>
        <w:tc>
          <w:tcPr>
            <w:tcW w:type="dxa" w:w="4320"/>
          </w:tcPr>
          <w:p>
            <w:r>
              <w:t>Securities Contracts (Regulation) Rules, 1957</w:t>
            </w:r>
          </w:p>
        </w:tc>
      </w:tr>
      <w:tr>
        <w:tc>
          <w:tcPr>
            <w:tcW w:type="dxa" w:w="4320"/>
          </w:tcPr>
          <w:p>
            <w:r>
              <w:t>SEBI</w:t>
            </w:r>
          </w:p>
        </w:tc>
        <w:tc>
          <w:tcPr>
            <w:tcW w:type="dxa" w:w="4320"/>
          </w:tcPr>
          <w:p>
            <w:r>
              <w:t>Securities and Exchange Board of India constituted under the SEBI Act</w:t>
            </w:r>
          </w:p>
        </w:tc>
      </w:tr>
      <w:tr>
        <w:tc>
          <w:tcPr>
            <w:tcW w:type="dxa" w:w="4320"/>
          </w:tcPr>
          <w:p>
            <w:r>
              <w:t>SEBI Act</w:t>
            </w:r>
          </w:p>
        </w:tc>
        <w:tc>
          <w:tcPr>
            <w:tcW w:type="dxa" w:w="4320"/>
          </w:tcPr>
          <w:p>
            <w:r>
              <w:t>Securities and Exchange Board of India Act, 1992</w:t>
            </w:r>
          </w:p>
        </w:tc>
      </w:tr>
      <w:tr>
        <w:tc>
          <w:tcPr>
            <w:tcW w:type="dxa" w:w="4320"/>
          </w:tcPr>
          <w:p>
            <w:r>
              <w:t>SEBI AIF Regulations</w:t>
            </w:r>
          </w:p>
        </w:tc>
        <w:tc>
          <w:tcPr>
            <w:tcW w:type="dxa" w:w="4320"/>
          </w:tcPr>
          <w:p>
            <w:r>
              <w:t>Securities and Exchange Board of India (Alternative Investment Funds) Regulations, 2012</w:t>
            </w:r>
          </w:p>
        </w:tc>
      </w:tr>
      <w:tr>
        <w:tc>
          <w:tcPr>
            <w:tcW w:type="dxa" w:w="4320"/>
          </w:tcPr>
          <w:p>
            <w:r>
              <w:t>SEBI BTI Regulations</w:t>
            </w:r>
          </w:p>
        </w:tc>
        <w:tc>
          <w:tcPr>
            <w:tcW w:type="dxa" w:w="4320"/>
          </w:tcPr>
          <w:p>
            <w:r>
              <w:t>Securities and Exchange Board of India (Bankers to an Issue) Regulations, 1994</w:t>
            </w:r>
          </w:p>
        </w:tc>
      </w:tr>
      <w:tr>
        <w:tc>
          <w:tcPr>
            <w:tcW w:type="dxa" w:w="4320"/>
          </w:tcPr>
          <w:p>
            <w:r>
              <w:t>SEBI FPI Regulations</w:t>
            </w:r>
          </w:p>
        </w:tc>
        <w:tc>
          <w:tcPr>
            <w:tcW w:type="dxa" w:w="4320"/>
          </w:tcPr>
          <w:p>
            <w:r>
              <w:t>Securities and Exchange Board of India (Foreign Portfolio Investors) Regulations, 2019</w:t>
            </w:r>
          </w:p>
        </w:tc>
      </w:tr>
      <w:tr>
        <w:tc>
          <w:tcPr>
            <w:tcW w:type="dxa" w:w="4320"/>
          </w:tcPr>
          <w:p>
            <w:r>
              <w:t>SEBI FVCI Regulations</w:t>
            </w:r>
          </w:p>
        </w:tc>
        <w:tc>
          <w:tcPr>
            <w:tcW w:type="dxa" w:w="4320"/>
          </w:tcPr>
          <w:p>
            <w:r>
              <w:t>Securities and Exchange Board of India (Foreign Venture Capital Investors) Regulations, 2000</w:t>
            </w:r>
          </w:p>
        </w:tc>
      </w:tr>
      <w:tr>
        <w:tc>
          <w:tcPr>
            <w:tcW w:type="dxa" w:w="4320"/>
          </w:tcPr>
          <w:p>
            <w:r>
              <w:t>SEBI ICDR Master Circular</w:t>
            </w:r>
          </w:p>
        </w:tc>
        <w:tc>
          <w:tcPr>
            <w:tcW w:type="dxa" w:w="4320"/>
          </w:tcPr>
          <w:p>
            <w:r>
              <w:t>SEBI ICDR Master Circular - SEBI master circular bearing reference SEBI/HO/CFD/PoD-1/P/CIR/2024/0154 dated November 11, 2024, as amended</w:t>
            </w:r>
          </w:p>
        </w:tc>
      </w:tr>
      <w:tr>
        <w:tc>
          <w:tcPr>
            <w:tcW w:type="dxa" w:w="4320"/>
          </w:tcPr>
          <w:p>
            <w:r>
              <w:t>SEBI ICDR Regulations</w:t>
            </w:r>
          </w:p>
        </w:tc>
        <w:tc>
          <w:tcPr>
            <w:tcW w:type="dxa" w:w="4320"/>
          </w:tcPr>
          <w:p>
            <w:r>
              <w:t>Securities and Exchange Board of India (Issue of Capital and Disclosure Requirements) Regulations, 2018</w:t>
            </w:r>
          </w:p>
        </w:tc>
      </w:tr>
      <w:tr>
        <w:tc>
          <w:tcPr>
            <w:tcW w:type="dxa" w:w="4320"/>
          </w:tcPr>
          <w:p>
            <w:r>
              <w:t>SEBI Listing Regulations</w:t>
            </w:r>
          </w:p>
        </w:tc>
        <w:tc>
          <w:tcPr>
            <w:tcW w:type="dxa" w:w="4320"/>
          </w:tcPr>
          <w:p>
            <w:r>
              <w:t>Securities and Exchange Board of India (Listing Obligations and Disclosure Requirements) Regulations, 2015</w:t>
            </w:r>
          </w:p>
        </w:tc>
      </w:tr>
      <w:tr>
        <w:tc>
          <w:tcPr>
            <w:tcW w:type="dxa" w:w="4320"/>
          </w:tcPr>
          <w:p>
            <w:r>
              <w:t>SEBI Mutual Funds Regulations</w:t>
            </w:r>
          </w:p>
        </w:tc>
        <w:tc>
          <w:tcPr>
            <w:tcW w:type="dxa" w:w="4320"/>
          </w:tcPr>
          <w:p>
            <w:r>
              <w:t>Securities and Exchange Board of India (Mutual Funds) Regulations, 1996</w:t>
            </w:r>
          </w:p>
        </w:tc>
      </w:tr>
      <w:tr>
        <w:tc>
          <w:tcPr>
            <w:tcW w:type="dxa" w:w="4320"/>
          </w:tcPr>
          <w:p>
            <w:r>
              <w:t>SEBI RTA Master Circular</w:t>
            </w:r>
          </w:p>
        </w:tc>
        <w:tc>
          <w:tcPr>
            <w:tcW w:type="dxa" w:w="4320"/>
          </w:tcPr>
          <w:p>
            <w:r>
              <w:t>SEBI master circular bearing number SEBI/HO/MIRSD/MIRSD-PoD/P/CIR/2025/91 dated June 23, 2025</w:t>
            </w:r>
          </w:p>
        </w:tc>
      </w:tr>
      <w:tr>
        <w:tc>
          <w:tcPr>
            <w:tcW w:type="dxa" w:w="4320"/>
          </w:tcPr>
          <w:p>
            <w:r>
              <w:t>SEBI SBEB &amp; SE Regulations</w:t>
            </w:r>
          </w:p>
        </w:tc>
        <w:tc>
          <w:tcPr>
            <w:tcW w:type="dxa" w:w="4320"/>
          </w:tcPr>
          <w:p>
            <w:r>
              <w:t>Securities and Exchange Board of India (Share Based Employee Benefits and Sweat Equity) Regulations, 2021</w:t>
            </w:r>
          </w:p>
        </w:tc>
      </w:tr>
      <w:tr>
        <w:tc>
          <w:tcPr>
            <w:tcW w:type="dxa" w:w="4320"/>
          </w:tcPr>
          <w:p>
            <w:r>
              <w:t>SEBI Takeover Regulations</w:t>
            </w:r>
          </w:p>
        </w:tc>
        <w:tc>
          <w:tcPr>
            <w:tcW w:type="dxa" w:w="4320"/>
          </w:tcPr>
          <w:p>
            <w:r>
              <w:t>Securities and Exchange Board of India (Substantial Acquisition of Shares and Takeovers) Regulations, 2011</w:t>
            </w:r>
          </w:p>
        </w:tc>
      </w:tr>
      <w:tr>
        <w:tc>
          <w:tcPr>
            <w:tcW w:type="dxa" w:w="4320"/>
          </w:tcPr>
          <w:p>
            <w:r>
              <w:t>SEBI VCF Regulations</w:t>
            </w:r>
          </w:p>
        </w:tc>
        <w:tc>
          <w:tcPr>
            <w:tcW w:type="dxa" w:w="4320"/>
          </w:tcPr>
          <w:p>
            <w:r>
              <w:t>Securities and Exchange Board of India (Venture Capital Fund) Regulations, 1996 as repealed pursuant to SEBI AIF Regulations</w:t>
            </w:r>
          </w:p>
        </w:tc>
      </w:tr>
      <w:tr>
        <w:tc>
          <w:tcPr>
            <w:tcW w:type="dxa" w:w="4320"/>
          </w:tcPr>
          <w:p>
            <w:r>
              <w:t>State Government</w:t>
            </w:r>
          </w:p>
        </w:tc>
        <w:tc>
          <w:tcPr>
            <w:tcW w:type="dxa" w:w="4320"/>
          </w:tcPr>
          <w:p>
            <w:r>
              <w:t>Government of a state of India.</w:t>
            </w:r>
          </w:p>
        </w:tc>
      </w:tr>
      <w:tr>
        <w:tc>
          <w:tcPr>
            <w:tcW w:type="dxa" w:w="4320"/>
          </w:tcPr>
          <w:p>
            <w:r>
              <w:t>U.S. Securities Act</w:t>
            </w:r>
          </w:p>
        </w:tc>
        <w:tc>
          <w:tcPr>
            <w:tcW w:type="dxa" w:w="4320"/>
          </w:tcPr>
          <w:p>
            <w:r>
              <w:t>United States Securities Act of 1933, as amended</w:t>
            </w:r>
          </w:p>
        </w:tc>
      </w:tr>
      <w:tr>
        <w:tc>
          <w:tcPr>
            <w:tcW w:type="dxa" w:w="4320"/>
          </w:tcPr>
          <w:p>
            <w:r>
              <w:t>US GAAP</w:t>
            </w:r>
          </w:p>
        </w:tc>
        <w:tc>
          <w:tcPr>
            <w:tcW w:type="dxa" w:w="4320"/>
          </w:tcPr>
          <w:p>
            <w:r>
              <w:t>Generally Accepted Accounting Principles in the United States of America.</w:t>
            </w:r>
          </w:p>
        </w:tc>
      </w:tr>
      <w:tr>
        <w:tc>
          <w:tcPr>
            <w:tcW w:type="dxa" w:w="4320"/>
          </w:tcPr>
          <w:p>
            <w:r>
              <w:t>USA/ United States/ U.S. / US</w:t>
            </w:r>
          </w:p>
        </w:tc>
        <w:tc>
          <w:tcPr>
            <w:tcW w:type="dxa" w:w="4320"/>
          </w:tcPr>
          <w:p>
            <w:r>
              <w:t>The United States of America</w:t>
            </w:r>
          </w:p>
        </w:tc>
      </w:tr>
      <w:tr>
        <w:tc>
          <w:tcPr>
            <w:tcW w:type="dxa" w:w="4320"/>
          </w:tcPr>
          <w:p>
            <w:r>
              <w:t>USD</w:t>
            </w:r>
          </w:p>
        </w:tc>
        <w:tc>
          <w:tcPr>
            <w:tcW w:type="dxa" w:w="4320"/>
          </w:tcPr>
          <w:p>
            <w:r>
              <w:t>United States Dollars</w:t>
            </w:r>
          </w:p>
        </w:tc>
      </w:tr>
      <w:tr>
        <w:tc>
          <w:tcPr>
            <w:tcW w:type="dxa" w:w="4320"/>
          </w:tcPr>
          <w:p>
            <w:r>
              <w:t>VCFs</w:t>
            </w:r>
          </w:p>
        </w:tc>
        <w:tc>
          <w:tcPr>
            <w:tcW w:type="dxa" w:w="4320"/>
          </w:tcPr>
          <w:p>
            <w:r>
              <w:t>Venture capital funds as defined in, and registered with SEBI under, the SEBI VCF Regulations (now repealed) or the SEBI AIF Regulations, as the case may be</w:t>
            </w:r>
          </w:p>
        </w:tc>
      </w:tr>
    </w:tbl>
    <w:p/>
    <w:p>
      <w:pPr>
        <w:pStyle w:val="BodyText"/>
      </w:pPr>
    </w:p>
    <w:p>
      <w:pPr>
        <w:pStyle w:val="Heading3"/>
      </w:pPr>
      <w:r>
        <w:t>Technical and Industry Related Terms</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Abbreviations</w:t>
            </w:r>
          </w:p>
        </w:tc>
      </w:tr>
      <w:tr>
        <w:tc>
          <w:tcPr>
            <w:tcW w:type="dxa" w:w="4320"/>
          </w:tcPr>
          <w:p>
            <w:r>
              <w:t>2W</w:t>
            </w:r>
          </w:p>
        </w:tc>
        <w:tc>
          <w:tcPr>
            <w:tcW w:type="dxa" w:w="4320"/>
          </w:tcPr>
          <w:p>
            <w:r>
              <w:t>Two-Wheelers</w:t>
            </w:r>
          </w:p>
        </w:tc>
      </w:tr>
      <w:tr>
        <w:tc>
          <w:tcPr>
            <w:tcW w:type="dxa" w:w="4320"/>
          </w:tcPr>
          <w:p>
            <w:r>
              <w:t>3W</w:t>
            </w:r>
          </w:p>
        </w:tc>
        <w:tc>
          <w:tcPr>
            <w:tcW w:type="dxa" w:w="4320"/>
          </w:tcPr>
          <w:p>
            <w:r>
              <w:t>Three Wheelers</w:t>
            </w:r>
          </w:p>
        </w:tc>
      </w:tr>
      <w:tr>
        <w:tc>
          <w:tcPr>
            <w:tcW w:type="dxa" w:w="4320"/>
          </w:tcPr>
          <w:p>
            <w:r>
              <w:t>4W</w:t>
            </w:r>
          </w:p>
        </w:tc>
        <w:tc>
          <w:tcPr>
            <w:tcW w:type="dxa" w:w="4320"/>
          </w:tcPr>
          <w:p>
            <w:r>
              <w:t>Four Wheelers</w:t>
            </w:r>
          </w:p>
        </w:tc>
      </w:tr>
      <w:tr>
        <w:tc>
          <w:tcPr>
            <w:tcW w:type="dxa" w:w="4320"/>
          </w:tcPr>
          <w:p>
            <w:r>
              <w:t>AAS</w:t>
            </w:r>
          </w:p>
        </w:tc>
        <w:tc>
          <w:tcPr>
            <w:tcW w:type="dxa" w:w="4320"/>
          </w:tcPr>
          <w:p>
            <w:r>
              <w:t>Advance Authorization Scheme</w:t>
            </w:r>
          </w:p>
        </w:tc>
      </w:tr>
      <w:tr>
        <w:tc>
          <w:tcPr>
            <w:tcW w:type="dxa" w:w="4320"/>
          </w:tcPr>
          <w:p>
            <w:r>
              <w:t>ACC</w:t>
            </w:r>
          </w:p>
        </w:tc>
        <w:tc>
          <w:tcPr>
            <w:tcW w:type="dxa" w:w="4320"/>
          </w:tcPr>
          <w:p>
            <w:r>
              <w:t>Advanced Chemistry Cell</w:t>
            </w:r>
          </w:p>
        </w:tc>
      </w:tr>
      <w:tr>
        <w:tc>
          <w:tcPr>
            <w:tcW w:type="dxa" w:w="4320"/>
          </w:tcPr>
          <w:p>
            <w:r>
              <w:t>ADAS</w:t>
            </w:r>
          </w:p>
        </w:tc>
        <w:tc>
          <w:tcPr>
            <w:tcW w:type="dxa" w:w="4320"/>
          </w:tcPr>
          <w:p>
            <w:r>
              <w:t>Advanced driver-assistance systems</w:t>
            </w:r>
          </w:p>
        </w:tc>
      </w:tr>
      <w:tr>
        <w:tc>
          <w:tcPr>
            <w:tcW w:type="dxa" w:w="4320"/>
          </w:tcPr>
          <w:p>
            <w:r>
              <w:t>AMRUT</w:t>
            </w:r>
          </w:p>
        </w:tc>
        <w:tc>
          <w:tcPr>
            <w:tcW w:type="dxa" w:w="4320"/>
          </w:tcPr>
          <w:p>
            <w:r>
              <w:t>Atal Mission for Rejuvenation and Urban Transformation</w:t>
            </w:r>
          </w:p>
        </w:tc>
      </w:tr>
      <w:tr>
        <w:tc>
          <w:tcPr>
            <w:tcW w:type="dxa" w:w="4320"/>
          </w:tcPr>
          <w:p>
            <w:r>
              <w:t>BCD</w:t>
            </w:r>
          </w:p>
        </w:tc>
        <w:tc>
          <w:tcPr>
            <w:tcW w:type="dxa" w:w="4320"/>
          </w:tcPr>
          <w:p>
            <w:r>
              <w:t>Basic Custom Duty</w:t>
            </w:r>
          </w:p>
        </w:tc>
      </w:tr>
      <w:tr>
        <w:tc>
          <w:tcPr>
            <w:tcW w:type="dxa" w:w="4320"/>
          </w:tcPr>
          <w:p>
            <w:r>
              <w:t>BESS</w:t>
            </w:r>
          </w:p>
        </w:tc>
        <w:tc>
          <w:tcPr>
            <w:tcW w:type="dxa" w:w="4320"/>
          </w:tcPr>
          <w:p>
            <w:r>
              <w:t>Battery Energy Storage System</w:t>
            </w:r>
          </w:p>
        </w:tc>
      </w:tr>
      <w:tr>
        <w:tc>
          <w:tcPr>
            <w:tcW w:type="dxa" w:w="4320"/>
          </w:tcPr>
          <w:p>
            <w:r>
              <w:t>BIS</w:t>
            </w:r>
          </w:p>
        </w:tc>
        <w:tc>
          <w:tcPr>
            <w:tcW w:type="dxa" w:w="4320"/>
          </w:tcPr>
          <w:p>
            <w:r>
              <w:t>Bureau of Indian Standards</w:t>
            </w:r>
          </w:p>
        </w:tc>
      </w:tr>
      <w:tr>
        <w:tc>
          <w:tcPr>
            <w:tcW w:type="dxa" w:w="4320"/>
          </w:tcPr>
          <w:p>
            <w:r>
              <w:t>BLDC</w:t>
            </w:r>
          </w:p>
        </w:tc>
        <w:tc>
          <w:tcPr>
            <w:tcW w:type="dxa" w:w="4320"/>
          </w:tcPr>
          <w:p>
            <w:r>
              <w:t>Brushless Direct Current</w:t>
            </w:r>
          </w:p>
        </w:tc>
      </w:tr>
      <w:tr>
        <w:tc>
          <w:tcPr>
            <w:tcW w:type="dxa" w:w="4320"/>
          </w:tcPr>
          <w:p>
            <w:r>
              <w:t>BTA</w:t>
            </w:r>
          </w:p>
        </w:tc>
        <w:tc>
          <w:tcPr>
            <w:tcW w:type="dxa" w:w="4320"/>
          </w:tcPr>
          <w:p>
            <w:r>
              <w:t>Bilateral trade agreement</w:t>
            </w:r>
          </w:p>
        </w:tc>
      </w:tr>
      <w:tr>
        <w:tc>
          <w:tcPr>
            <w:tcW w:type="dxa" w:w="4320"/>
          </w:tcPr>
          <w:p>
            <w:r>
              <w:t>BU</w:t>
            </w:r>
          </w:p>
        </w:tc>
        <w:tc>
          <w:tcPr>
            <w:tcW w:type="dxa" w:w="4320"/>
          </w:tcPr>
          <w:p>
            <w:r>
              <w:t>Billion unit</w:t>
            </w:r>
          </w:p>
        </w:tc>
      </w:tr>
      <w:tr>
        <w:tc>
          <w:tcPr>
            <w:tcW w:type="dxa" w:w="4320"/>
          </w:tcPr>
          <w:p>
            <w:r>
              <w:t>CEA</w:t>
            </w:r>
          </w:p>
        </w:tc>
        <w:tc>
          <w:tcPr>
            <w:tcW w:type="dxa" w:w="4320"/>
          </w:tcPr>
          <w:p>
            <w:r>
              <w:t>Central Electricity Authority</w:t>
            </w:r>
          </w:p>
        </w:tc>
      </w:tr>
      <w:tr>
        <w:tc>
          <w:tcPr>
            <w:tcW w:type="dxa" w:w="4320"/>
          </w:tcPr>
          <w:p>
            <w:r>
              <w:t>CERC</w:t>
            </w:r>
          </w:p>
        </w:tc>
        <w:tc>
          <w:tcPr>
            <w:tcW w:type="dxa" w:w="4320"/>
          </w:tcPr>
          <w:p>
            <w:r>
              <w:t>Central Electricity Regulatory Commission</w:t>
            </w:r>
          </w:p>
        </w:tc>
      </w:tr>
      <w:tr>
        <w:tc>
          <w:tcPr>
            <w:tcW w:type="dxa" w:w="4320"/>
          </w:tcPr>
          <w:p>
            <w:r>
              <w:t>CKM</w:t>
            </w:r>
          </w:p>
        </w:tc>
        <w:tc>
          <w:tcPr>
            <w:tcW w:type="dxa" w:w="4320"/>
          </w:tcPr>
          <w:p>
            <w:r>
              <w:t>Circuit Kilometers</w:t>
            </w:r>
          </w:p>
        </w:tc>
      </w:tr>
      <w:tr>
        <w:tc>
          <w:tcPr>
            <w:tcW w:type="dxa" w:w="4320"/>
          </w:tcPr>
          <w:p>
            <w:r>
              <w:t>CTC</w:t>
            </w:r>
          </w:p>
        </w:tc>
        <w:tc>
          <w:tcPr>
            <w:tcW w:type="dxa" w:w="4320"/>
          </w:tcPr>
          <w:p>
            <w:r>
              <w:t>Continuous Transposed Conductors</w:t>
            </w:r>
          </w:p>
        </w:tc>
      </w:tr>
      <w:tr>
        <w:tc>
          <w:tcPr>
            <w:tcW w:type="dxa" w:w="4320"/>
          </w:tcPr>
          <w:p>
            <w:r>
              <w:t>CUF</w:t>
            </w:r>
          </w:p>
        </w:tc>
        <w:tc>
          <w:tcPr>
            <w:tcW w:type="dxa" w:w="4320"/>
          </w:tcPr>
          <w:p>
            <w:r>
              <w:t>Capacity Utilization Factor</w:t>
            </w:r>
          </w:p>
        </w:tc>
      </w:tr>
      <w:tr>
        <w:tc>
          <w:tcPr>
            <w:tcW w:type="dxa" w:w="4320"/>
          </w:tcPr>
          <w:p>
            <w:r>
              <w:t>DDUGJY</w:t>
            </w:r>
          </w:p>
        </w:tc>
        <w:tc>
          <w:tcPr>
            <w:tcW w:type="dxa" w:w="4320"/>
          </w:tcPr>
          <w:p>
            <w:r>
              <w:t>Deen Dayal Upadhyaya Gram Jyoti</w:t>
            </w:r>
          </w:p>
        </w:tc>
      </w:tr>
      <w:tr>
        <w:tc>
          <w:tcPr>
            <w:tcW w:type="dxa" w:w="4320"/>
          </w:tcPr>
          <w:p>
            <w:r>
              <w:t>DFI</w:t>
            </w:r>
          </w:p>
        </w:tc>
        <w:tc>
          <w:tcPr>
            <w:tcW w:type="dxa" w:w="4320"/>
          </w:tcPr>
          <w:p>
            <w:r>
              <w:t>Development Finance Institution</w:t>
            </w:r>
          </w:p>
        </w:tc>
      </w:tr>
      <w:tr>
        <w:tc>
          <w:tcPr>
            <w:tcW w:type="dxa" w:w="4320"/>
          </w:tcPr>
          <w:p>
            <w:r>
              <w:t>DFIA</w:t>
            </w:r>
          </w:p>
        </w:tc>
        <w:tc>
          <w:tcPr>
            <w:tcW w:type="dxa" w:w="4320"/>
          </w:tcPr>
          <w:p>
            <w:r>
              <w:t>Duty-Free Import Authorisation</w:t>
            </w:r>
          </w:p>
        </w:tc>
      </w:tr>
      <w:tr>
        <w:tc>
          <w:tcPr>
            <w:tcW w:type="dxa" w:w="4320"/>
          </w:tcPr>
          <w:p>
            <w:r>
              <w:t>DG</w:t>
            </w:r>
          </w:p>
        </w:tc>
        <w:tc>
          <w:tcPr>
            <w:tcW w:type="dxa" w:w="4320"/>
          </w:tcPr>
          <w:p>
            <w:r>
              <w:t>Diesel Generators</w:t>
            </w:r>
          </w:p>
        </w:tc>
      </w:tr>
      <w:tr>
        <w:tc>
          <w:tcPr>
            <w:tcW w:type="dxa" w:w="4320"/>
          </w:tcPr>
          <w:p>
            <w:r>
              <w:t>EBITDA</w:t>
            </w:r>
          </w:p>
        </w:tc>
        <w:tc>
          <w:tcPr>
            <w:tcW w:type="dxa" w:w="4320"/>
          </w:tcPr>
          <w:p>
            <w:r>
              <w:t>Earnings Before Interest, Taxes, Depreciation, and Amortization.</w:t>
            </w:r>
          </w:p>
        </w:tc>
      </w:tr>
    </w:tbl>
    <w:p>
      <w:pPr>
        <w:pStyle w:val="BodyText"/>
      </w:pPr>
    </w:p>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Abbreviations</w:t>
            </w:r>
          </w:p>
        </w:tc>
      </w:tr>
      <w:tr>
        <w:tc>
          <w:tcPr>
            <w:tcW w:type="dxa" w:w="4320"/>
          </w:tcPr>
          <w:p>
            <w:r>
              <w:t>EMIS</w:t>
            </w:r>
          </w:p>
        </w:tc>
        <w:tc>
          <w:tcPr>
            <w:tcW w:type="dxa" w:w="4320"/>
          </w:tcPr>
          <w:p>
            <w:r>
              <w:t>Education Management Information System</w:t>
            </w:r>
          </w:p>
        </w:tc>
      </w:tr>
      <w:tr>
        <w:tc>
          <w:tcPr>
            <w:tcW w:type="dxa" w:w="4320"/>
          </w:tcPr>
          <w:p>
            <w:r>
              <w:t>EPCG</w:t>
            </w:r>
          </w:p>
        </w:tc>
        <w:tc>
          <w:tcPr>
            <w:tcW w:type="dxa" w:w="4320"/>
          </w:tcPr>
          <w:p>
            <w:r>
              <w:t>Export Promotion Capital Goods</w:t>
            </w:r>
          </w:p>
        </w:tc>
      </w:tr>
      <w:tr>
        <w:tc>
          <w:tcPr>
            <w:tcW w:type="dxa" w:w="4320"/>
          </w:tcPr>
          <w:p>
            <w:r>
              <w:t>EV</w:t>
            </w:r>
          </w:p>
        </w:tc>
        <w:tc>
          <w:tcPr>
            <w:tcW w:type="dxa" w:w="4320"/>
          </w:tcPr>
          <w:p>
            <w:r>
              <w:t>Electric Vehicles</w:t>
            </w:r>
          </w:p>
        </w:tc>
      </w:tr>
      <w:tr>
        <w:tc>
          <w:tcPr>
            <w:tcW w:type="dxa" w:w="4320"/>
          </w:tcPr>
          <w:p>
            <w:r>
              <w:t>FAME</w:t>
            </w:r>
          </w:p>
        </w:tc>
        <w:tc>
          <w:tcPr>
            <w:tcW w:type="dxa" w:w="4320"/>
          </w:tcPr>
          <w:p>
            <w:r>
              <w:t>Faster Adoption and Manufacturing of Hybrid and Electric Vehicles</w:t>
            </w:r>
          </w:p>
        </w:tc>
      </w:tr>
      <w:tr>
        <w:tc>
          <w:tcPr>
            <w:tcW w:type="dxa" w:w="4320"/>
          </w:tcPr>
          <w:p>
            <w:r>
              <w:t>FE</w:t>
            </w:r>
          </w:p>
        </w:tc>
        <w:tc>
          <w:tcPr>
            <w:tcW w:type="dxa" w:w="4320"/>
          </w:tcPr>
          <w:p>
            <w:r>
              <w:t>Final Estimates</w:t>
            </w:r>
          </w:p>
        </w:tc>
      </w:tr>
      <w:tr>
        <w:tc>
          <w:tcPr>
            <w:tcW w:type="dxa" w:w="4320"/>
          </w:tcPr>
          <w:p>
            <w:r>
              <w:t>FHP</w:t>
            </w:r>
          </w:p>
        </w:tc>
        <w:tc>
          <w:tcPr>
            <w:tcW w:type="dxa" w:w="4320"/>
          </w:tcPr>
          <w:p>
            <w:r>
              <w:t>Fractional Horsepower</w:t>
            </w:r>
          </w:p>
        </w:tc>
      </w:tr>
      <w:tr>
        <w:tc>
          <w:tcPr>
            <w:tcW w:type="dxa" w:w="4320"/>
          </w:tcPr>
          <w:p>
            <w:r>
              <w:t>FRE</w:t>
            </w:r>
          </w:p>
        </w:tc>
        <w:tc>
          <w:tcPr>
            <w:tcW w:type="dxa" w:w="4320"/>
          </w:tcPr>
          <w:p>
            <w:r>
              <w:t>First Revised Estimates</w:t>
            </w:r>
          </w:p>
        </w:tc>
      </w:tr>
      <w:tr>
        <w:tc>
          <w:tcPr>
            <w:tcW w:type="dxa" w:w="4320"/>
          </w:tcPr>
          <w:p>
            <w:r>
              <w:t>FSA</w:t>
            </w:r>
          </w:p>
        </w:tc>
        <w:tc>
          <w:tcPr>
            <w:tcW w:type="dxa" w:w="4320"/>
          </w:tcPr>
          <w:p>
            <w:r>
              <w:t>Fuel Supply Agreements</w:t>
            </w:r>
          </w:p>
        </w:tc>
      </w:tr>
      <w:tr>
        <w:tc>
          <w:tcPr>
            <w:tcW w:type="dxa" w:w="4320"/>
          </w:tcPr>
          <w:p>
            <w:r>
              <w:t>FTA</w:t>
            </w:r>
          </w:p>
        </w:tc>
        <w:tc>
          <w:tcPr>
            <w:tcW w:type="dxa" w:w="4320"/>
          </w:tcPr>
          <w:p>
            <w:r>
              <w:t>Free Trade Agreements</w:t>
            </w:r>
          </w:p>
        </w:tc>
      </w:tr>
      <w:tr>
        <w:tc>
          <w:tcPr>
            <w:tcW w:type="dxa" w:w="4320"/>
          </w:tcPr>
          <w:p>
            <w:r>
              <w:t>GDP</w:t>
            </w:r>
          </w:p>
        </w:tc>
        <w:tc>
          <w:tcPr>
            <w:tcW w:type="dxa" w:w="4320"/>
          </w:tcPr>
          <w:p>
            <w:r>
              <w:t>Gross Domestic Product</w:t>
            </w:r>
          </w:p>
        </w:tc>
      </w:tr>
      <w:tr>
        <w:tc>
          <w:tcPr>
            <w:tcW w:type="dxa" w:w="4320"/>
          </w:tcPr>
          <w:p>
            <w:r>
              <w:t>GNDI</w:t>
            </w:r>
          </w:p>
        </w:tc>
        <w:tc>
          <w:tcPr>
            <w:tcW w:type="dxa" w:w="4320"/>
          </w:tcPr>
          <w:p>
            <w:r>
              <w:t>Gross National Disposable Income</w:t>
            </w:r>
          </w:p>
        </w:tc>
      </w:tr>
      <w:tr>
        <w:tc>
          <w:tcPr>
            <w:tcW w:type="dxa" w:w="4320"/>
          </w:tcPr>
          <w:p>
            <w:r>
              <w:t>GVA</w:t>
            </w:r>
          </w:p>
        </w:tc>
        <w:tc>
          <w:tcPr>
            <w:tcW w:type="dxa" w:w="4320"/>
          </w:tcPr>
          <w:p>
            <w:r>
              <w:t>Gross Value Added</w:t>
            </w:r>
          </w:p>
        </w:tc>
      </w:tr>
      <w:tr>
        <w:tc>
          <w:tcPr>
            <w:tcW w:type="dxa" w:w="4320"/>
          </w:tcPr>
          <w:p>
            <w:r>
              <w:t>GW</w:t>
            </w:r>
          </w:p>
        </w:tc>
        <w:tc>
          <w:tcPr>
            <w:tcW w:type="dxa" w:w="4320"/>
          </w:tcPr>
          <w:p>
            <w:r>
              <w:t>Gigawatt</w:t>
            </w:r>
          </w:p>
        </w:tc>
      </w:tr>
      <w:tr>
        <w:tc>
          <w:tcPr>
            <w:tcW w:type="dxa" w:w="4320"/>
          </w:tcPr>
          <w:p>
            <w:r>
              <w:t>GWH</w:t>
            </w:r>
          </w:p>
        </w:tc>
        <w:tc>
          <w:tcPr>
            <w:tcW w:type="dxa" w:w="4320"/>
          </w:tcPr>
          <w:p>
            <w:r>
              <w:t>Gigawatt-Hour</w:t>
            </w:r>
          </w:p>
        </w:tc>
      </w:tr>
      <w:tr>
        <w:tc>
          <w:tcPr>
            <w:tcW w:type="dxa" w:w="4320"/>
          </w:tcPr>
          <w:p>
            <w:r>
              <w:t>HT</w:t>
            </w:r>
          </w:p>
        </w:tc>
        <w:tc>
          <w:tcPr>
            <w:tcW w:type="dxa" w:w="4320"/>
          </w:tcPr>
          <w:p>
            <w:r>
              <w:t>High Tension</w:t>
            </w:r>
          </w:p>
        </w:tc>
      </w:tr>
      <w:tr>
        <w:tc>
          <w:tcPr>
            <w:tcW w:type="dxa" w:w="4320"/>
          </w:tcPr>
          <w:p>
            <w:r>
              <w:t>HVAC</w:t>
            </w:r>
          </w:p>
        </w:tc>
        <w:tc>
          <w:tcPr>
            <w:tcW w:type="dxa" w:w="4320"/>
          </w:tcPr>
          <w:p>
            <w:r>
              <w:t>Heating, Ventilation, and Air Conditioning</w:t>
            </w:r>
          </w:p>
        </w:tc>
      </w:tr>
      <w:tr>
        <w:tc>
          <w:tcPr>
            <w:tcW w:type="dxa" w:w="4320"/>
          </w:tcPr>
          <w:p>
            <w:r>
              <w:t>HVDC</w:t>
            </w:r>
          </w:p>
        </w:tc>
        <w:tc>
          <w:tcPr>
            <w:tcW w:type="dxa" w:w="4320"/>
          </w:tcPr>
          <w:p>
            <w:r>
              <w:t>High Voltage Direct Current</w:t>
            </w:r>
          </w:p>
        </w:tc>
      </w:tr>
      <w:tr>
        <w:tc>
          <w:tcPr>
            <w:tcW w:type="dxa" w:w="4320"/>
          </w:tcPr>
          <w:p>
            <w:r>
              <w:t>IATF</w:t>
            </w:r>
          </w:p>
        </w:tc>
        <w:tc>
          <w:tcPr>
            <w:tcW w:type="dxa" w:w="4320"/>
          </w:tcPr>
          <w:p>
            <w:r>
              <w:t>International Automotive Task Force</w:t>
            </w:r>
          </w:p>
        </w:tc>
      </w:tr>
      <w:tr>
        <w:tc>
          <w:tcPr>
            <w:tcW w:type="dxa" w:w="4320"/>
          </w:tcPr>
          <w:p>
            <w:r>
              <w:t>ICE</w:t>
            </w:r>
          </w:p>
        </w:tc>
        <w:tc>
          <w:tcPr>
            <w:tcW w:type="dxa" w:w="4320"/>
          </w:tcPr>
          <w:p>
            <w:r>
              <w:t>Internal Combustion Engine</w:t>
            </w:r>
          </w:p>
        </w:tc>
      </w:tr>
      <w:tr>
        <w:tc>
          <w:tcPr>
            <w:tcW w:type="dxa" w:w="4320"/>
          </w:tcPr>
          <w:p>
            <w:r>
              <w:t>IEA</w:t>
            </w:r>
          </w:p>
        </w:tc>
        <w:tc>
          <w:tcPr>
            <w:tcW w:type="dxa" w:w="4320"/>
          </w:tcPr>
          <w:p>
            <w:r>
              <w:t>International Energy Agency</w:t>
            </w:r>
          </w:p>
        </w:tc>
      </w:tr>
      <w:tr>
        <w:tc>
          <w:tcPr>
            <w:tcW w:type="dxa" w:w="4320"/>
          </w:tcPr>
          <w:p>
            <w:r>
              <w:t>IEBR</w:t>
            </w:r>
          </w:p>
        </w:tc>
        <w:tc>
          <w:tcPr>
            <w:tcW w:type="dxa" w:w="4320"/>
          </w:tcPr>
          <w:p>
            <w:r>
              <w:t>Internal and Extra Budgetary Resources</w:t>
            </w:r>
          </w:p>
        </w:tc>
      </w:tr>
      <w:tr>
        <w:tc>
          <w:tcPr>
            <w:tcW w:type="dxa" w:w="4320"/>
          </w:tcPr>
          <w:p>
            <w:r>
              <w:t>IEC</w:t>
            </w:r>
          </w:p>
        </w:tc>
        <w:tc>
          <w:tcPr>
            <w:tcW w:type="dxa" w:w="4320"/>
          </w:tcPr>
          <w:p>
            <w:r>
              <w:t>International Electrotechnical Commission</w:t>
            </w:r>
          </w:p>
        </w:tc>
      </w:tr>
      <w:tr>
        <w:tc>
          <w:tcPr>
            <w:tcW w:type="dxa" w:w="4320"/>
          </w:tcPr>
          <w:p>
            <w:r>
              <w:t>IIP</w:t>
            </w:r>
          </w:p>
        </w:tc>
        <w:tc>
          <w:tcPr>
            <w:tcW w:type="dxa" w:w="4320"/>
          </w:tcPr>
          <w:p>
            <w:r>
              <w:t>Index of Industrial Production</w:t>
            </w:r>
          </w:p>
        </w:tc>
      </w:tr>
      <w:tr>
        <w:tc>
          <w:tcPr>
            <w:tcW w:type="dxa" w:w="4320"/>
          </w:tcPr>
          <w:p>
            <w:r>
              <w:t>IMF</w:t>
            </w:r>
          </w:p>
        </w:tc>
        <w:tc>
          <w:tcPr>
            <w:tcW w:type="dxa" w:w="4320"/>
          </w:tcPr>
          <w:p>
            <w:r>
              <w:t>International Monetary Fund</w:t>
            </w:r>
          </w:p>
        </w:tc>
      </w:tr>
      <w:tr>
        <w:tc>
          <w:tcPr>
            <w:tcW w:type="dxa" w:w="4320"/>
          </w:tcPr>
          <w:p>
            <w:r>
              <w:t>IPDS</w:t>
            </w:r>
          </w:p>
        </w:tc>
        <w:tc>
          <w:tcPr>
            <w:tcW w:type="dxa" w:w="4320"/>
          </w:tcPr>
          <w:p>
            <w:r>
              <w:t>Integrated Power Development Scheme</w:t>
            </w:r>
          </w:p>
        </w:tc>
      </w:tr>
      <w:tr>
        <w:tc>
          <w:tcPr>
            <w:tcW w:type="dxa" w:w="4320"/>
          </w:tcPr>
          <w:p>
            <w:r>
              <w:t>ISTS</w:t>
            </w:r>
          </w:p>
        </w:tc>
        <w:tc>
          <w:tcPr>
            <w:tcW w:type="dxa" w:w="4320"/>
          </w:tcPr>
          <w:p>
            <w:r>
              <w:t>Inter-State Transmission System</w:t>
            </w:r>
          </w:p>
        </w:tc>
      </w:tr>
      <w:tr>
        <w:tc>
          <w:tcPr>
            <w:tcW w:type="dxa" w:w="4320"/>
          </w:tcPr>
          <w:p>
            <w:r>
              <w:t>kV</w:t>
            </w:r>
          </w:p>
        </w:tc>
        <w:tc>
          <w:tcPr>
            <w:tcW w:type="dxa" w:w="4320"/>
          </w:tcPr>
          <w:p>
            <w:r>
              <w:t>Kilovolt</w:t>
            </w:r>
          </w:p>
        </w:tc>
      </w:tr>
      <w:tr>
        <w:tc>
          <w:tcPr>
            <w:tcW w:type="dxa" w:w="4320"/>
          </w:tcPr>
          <w:p>
            <w:r>
              <w:t>LPG</w:t>
            </w:r>
          </w:p>
        </w:tc>
        <w:tc>
          <w:tcPr>
            <w:tcW w:type="dxa" w:w="4320"/>
          </w:tcPr>
          <w:p>
            <w:r>
              <w:t>Liquid Propane Gas</w:t>
            </w:r>
          </w:p>
        </w:tc>
      </w:tr>
      <w:tr>
        <w:tc>
          <w:tcPr>
            <w:tcW w:type="dxa" w:w="4320"/>
          </w:tcPr>
          <w:p>
            <w:r>
              <w:t>LT</w:t>
            </w:r>
          </w:p>
        </w:tc>
        <w:tc>
          <w:tcPr>
            <w:tcW w:type="dxa" w:w="4320"/>
          </w:tcPr>
          <w:p>
            <w:r>
              <w:t>Low Tension</w:t>
            </w:r>
          </w:p>
        </w:tc>
      </w:tr>
      <w:tr>
        <w:tc>
          <w:tcPr>
            <w:tcW w:type="dxa" w:w="4320"/>
          </w:tcPr>
          <w:p>
            <w:r>
              <w:t>MOSPI</w:t>
            </w:r>
          </w:p>
        </w:tc>
        <w:tc>
          <w:tcPr>
            <w:tcW w:type="dxa" w:w="4320"/>
          </w:tcPr>
          <w:p>
            <w:r>
              <w:t>Ministry of Statistics and Programme Implementation</w:t>
            </w:r>
          </w:p>
        </w:tc>
      </w:tr>
      <w:tr>
        <w:tc>
          <w:tcPr>
            <w:tcW w:type="dxa" w:w="4320"/>
          </w:tcPr>
          <w:p>
            <w:r>
              <w:t>MVA</w:t>
            </w:r>
          </w:p>
        </w:tc>
        <w:tc>
          <w:tcPr>
            <w:tcW w:type="dxa" w:w="4320"/>
          </w:tcPr>
          <w:p>
            <w:r>
              <w:t>Mega Volt-Amperes</w:t>
            </w:r>
          </w:p>
        </w:tc>
      </w:tr>
      <w:tr>
        <w:tc>
          <w:tcPr>
            <w:tcW w:type="dxa" w:w="4320"/>
          </w:tcPr>
          <w:p>
            <w:r>
              <w:t>MW</w:t>
            </w:r>
          </w:p>
        </w:tc>
        <w:tc>
          <w:tcPr>
            <w:tcW w:type="dxa" w:w="4320"/>
          </w:tcPr>
          <w:p>
            <w:r>
              <w:t>Megawatt</w:t>
            </w:r>
          </w:p>
        </w:tc>
      </w:tr>
      <w:tr>
        <w:tc>
          <w:tcPr>
            <w:tcW w:type="dxa" w:w="4320"/>
          </w:tcPr>
          <w:p>
            <w:r>
              <w:t>MWW</w:t>
            </w:r>
          </w:p>
        </w:tc>
        <w:tc>
          <w:tcPr>
            <w:tcW w:type="dxa" w:w="4320"/>
          </w:tcPr>
          <w:p>
            <w:r>
              <w:t>Magnet Winding Wires</w:t>
            </w:r>
          </w:p>
        </w:tc>
      </w:tr>
      <w:tr>
        <w:tc>
          <w:tcPr>
            <w:tcW w:type="dxa" w:w="4320"/>
          </w:tcPr>
          <w:p>
            <w:r>
              <w:t>NEMMP</w:t>
            </w:r>
          </w:p>
        </w:tc>
        <w:tc>
          <w:tcPr>
            <w:tcW w:type="dxa" w:w="4320"/>
          </w:tcPr>
          <w:p>
            <w:r>
              <w:t>National Electric Mobility Mission Plan</w:t>
            </w:r>
          </w:p>
        </w:tc>
      </w:tr>
      <w:tr>
        <w:tc>
          <w:tcPr>
            <w:tcW w:type="dxa" w:w="4320"/>
          </w:tcPr>
          <w:p>
            <w:r>
              <w:t>NEP</w:t>
            </w:r>
          </w:p>
        </w:tc>
        <w:tc>
          <w:tcPr>
            <w:tcW w:type="dxa" w:w="4320"/>
          </w:tcPr>
          <w:p>
            <w:r>
              <w:t>National Electricity Plan</w:t>
            </w:r>
          </w:p>
        </w:tc>
      </w:tr>
      <w:tr>
        <w:tc>
          <w:tcPr>
            <w:tcW w:type="dxa" w:w="4320"/>
          </w:tcPr>
          <w:p>
            <w:r>
              <w:t>NIP</w:t>
            </w:r>
          </w:p>
        </w:tc>
        <w:tc>
          <w:tcPr>
            <w:tcW w:type="dxa" w:w="4320"/>
          </w:tcPr>
          <w:p>
            <w:r>
              <w:t>National Infrastructure Pipeline</w:t>
            </w:r>
          </w:p>
        </w:tc>
      </w:tr>
      <w:tr>
        <w:tc>
          <w:tcPr>
            <w:tcW w:type="dxa" w:w="4320"/>
          </w:tcPr>
          <w:p>
            <w:r>
              <w:t>NMP</w:t>
            </w:r>
          </w:p>
        </w:tc>
        <w:tc>
          <w:tcPr>
            <w:tcW w:type="dxa" w:w="4320"/>
          </w:tcPr>
          <w:p>
            <w:r>
              <w:t>National Monetization Pipeline</w:t>
            </w:r>
          </w:p>
        </w:tc>
      </w:tr>
      <w:tr>
        <w:tc>
          <w:tcPr>
            <w:tcW w:type="dxa" w:w="4320"/>
          </w:tcPr>
          <w:p>
            <w:r>
              <w:t>OEMs</w:t>
            </w:r>
          </w:p>
        </w:tc>
        <w:tc>
          <w:tcPr>
            <w:tcW w:type="dxa" w:w="4320"/>
          </w:tcPr>
          <w:p>
            <w:r>
              <w:t>Original equipment manufacturer</w:t>
            </w:r>
          </w:p>
        </w:tc>
      </w:tr>
      <w:tr>
        <w:tc>
          <w:tcPr>
            <w:tcW w:type="dxa" w:w="4320"/>
          </w:tcPr>
          <w:p>
            <w:r>
              <w:t>OTG</w:t>
            </w:r>
          </w:p>
        </w:tc>
        <w:tc>
          <w:tcPr>
            <w:tcW w:type="dxa" w:w="4320"/>
          </w:tcPr>
          <w:p>
            <w:r>
              <w:t>Oven, Toaster, Grill</w:t>
            </w:r>
          </w:p>
        </w:tc>
      </w:tr>
      <w:tr>
        <w:tc>
          <w:tcPr>
            <w:tcW w:type="dxa" w:w="4320"/>
          </w:tcPr>
          <w:p>
            <w:r>
              <w:t>PAT</w:t>
            </w:r>
          </w:p>
        </w:tc>
        <w:tc>
          <w:tcPr>
            <w:tcW w:type="dxa" w:w="4320"/>
          </w:tcPr>
          <w:p>
            <w:r>
              <w:t>Profit After Tax</w:t>
            </w:r>
          </w:p>
        </w:tc>
      </w:tr>
      <w:tr>
        <w:tc>
          <w:tcPr>
            <w:tcW w:type="dxa" w:w="4320"/>
          </w:tcPr>
          <w:p>
            <w:r>
              <w:t>PFCE</w:t>
            </w:r>
          </w:p>
        </w:tc>
        <w:tc>
          <w:tcPr>
            <w:tcW w:type="dxa" w:w="4320"/>
          </w:tcPr>
          <w:p>
            <w:r>
              <w:t>Private Final Consumption Expenditure</w:t>
            </w:r>
          </w:p>
        </w:tc>
      </w:tr>
      <w:tr>
        <w:tc>
          <w:tcPr>
            <w:tcW w:type="dxa" w:w="4320"/>
          </w:tcPr>
          <w:p>
            <w:r>
              <w:t>PLI</w:t>
            </w:r>
          </w:p>
        </w:tc>
        <w:tc>
          <w:tcPr>
            <w:tcW w:type="dxa" w:w="4320"/>
          </w:tcPr>
          <w:p>
            <w:r>
              <w:t>Production Linked Incentives</w:t>
            </w:r>
          </w:p>
        </w:tc>
      </w:tr>
      <w:tr>
        <w:tc>
          <w:tcPr>
            <w:tcW w:type="dxa" w:w="4320"/>
          </w:tcPr>
          <w:p>
            <w:r>
              <w:t>PMAY</w:t>
            </w:r>
          </w:p>
        </w:tc>
        <w:tc>
          <w:tcPr>
            <w:tcW w:type="dxa" w:w="4320"/>
          </w:tcPr>
          <w:p>
            <w:r>
              <w:t>Pradhan Mantri Awas Yojana</w:t>
            </w:r>
          </w:p>
        </w:tc>
      </w:tr>
      <w:tr>
        <w:tc>
          <w:tcPr>
            <w:tcW w:type="dxa" w:w="4320"/>
          </w:tcPr>
          <w:p>
            <w:r>
              <w:t>PM-KUSUM</w:t>
            </w:r>
          </w:p>
        </w:tc>
        <w:tc>
          <w:tcPr>
            <w:tcW w:type="dxa" w:w="4320"/>
          </w:tcPr>
          <w:p>
            <w:r>
              <w:t>Pradhan Mantri Kisan Urja Suraksha evam Utthaan Mahabhiyan Yojana</w:t>
            </w:r>
          </w:p>
        </w:tc>
      </w:tr>
      <w:tr>
        <w:tc>
          <w:tcPr>
            <w:tcW w:type="dxa" w:w="4320"/>
          </w:tcPr>
          <w:p>
            <w:r>
              <w:t>PV</w:t>
            </w:r>
          </w:p>
        </w:tc>
        <w:tc>
          <w:tcPr>
            <w:tcW w:type="dxa" w:w="4320"/>
          </w:tcPr>
          <w:p>
            <w:r>
              <w:t>Photo Voltaic</w:t>
            </w:r>
          </w:p>
        </w:tc>
      </w:tr>
      <w:tr>
        <w:tc>
          <w:tcPr>
            <w:tcW w:type="dxa" w:w="4320"/>
          </w:tcPr>
          <w:p>
            <w:r>
              <w:t>PWIL</w:t>
            </w:r>
          </w:p>
        </w:tc>
        <w:tc>
          <w:tcPr>
            <w:tcW w:type="dxa" w:w="4320"/>
          </w:tcPr>
          <w:p>
            <w:r>
              <w:t>Quantum Softech Private Limited</w:t>
            </w:r>
          </w:p>
        </w:tc>
      </w:tr>
      <w:tr>
        <w:tc>
          <w:tcPr>
            <w:tcW w:type="dxa" w:w="4320"/>
          </w:tcPr>
          <w:p>
            <w:r>
              <w:t>QSR</w:t>
            </w:r>
          </w:p>
        </w:tc>
        <w:tc>
          <w:tcPr>
            <w:tcW w:type="dxa" w:w="4320"/>
          </w:tcPr>
          <w:p>
            <w:r>
              <w:t>Quick Service Restaurants</w:t>
            </w:r>
          </w:p>
        </w:tc>
      </w:tr>
      <w:tr>
        <w:tc>
          <w:tcPr>
            <w:tcW w:type="dxa" w:w="4320"/>
          </w:tcPr>
          <w:p>
            <w:r>
              <w:t>RBI</w:t>
            </w:r>
          </w:p>
        </w:tc>
        <w:tc>
          <w:tcPr>
            <w:tcW w:type="dxa" w:w="4320"/>
          </w:tcPr>
          <w:p>
            <w:r>
              <w:t>Reserve Bank of India</w:t>
            </w:r>
          </w:p>
        </w:tc>
      </w:tr>
      <w:tr>
        <w:tc>
          <w:tcPr>
            <w:tcW w:type="dxa" w:w="4320"/>
          </w:tcPr>
          <w:p>
            <w:r>
              <w:t>RDSS</w:t>
            </w:r>
          </w:p>
        </w:tc>
        <w:tc>
          <w:tcPr>
            <w:tcW w:type="dxa" w:w="4320"/>
          </w:tcPr>
          <w:p>
            <w:r>
              <w:t>Revamped Distribution Sector Scheme</w:t>
            </w:r>
          </w:p>
        </w:tc>
      </w:tr>
      <w:tr>
        <w:tc>
          <w:tcPr>
            <w:tcW w:type="dxa" w:w="4320"/>
          </w:tcPr>
          <w:p>
            <w:r>
              <w:t>RES</w:t>
            </w:r>
          </w:p>
        </w:tc>
        <w:tc>
          <w:tcPr>
            <w:tcW w:type="dxa" w:w="4320"/>
          </w:tcPr>
          <w:p>
            <w:r>
              <w:t>Renewable Energy Resources</w:t>
            </w:r>
          </w:p>
        </w:tc>
      </w:tr>
      <w:tr>
        <w:tc>
          <w:tcPr>
            <w:tcW w:type="dxa" w:w="4320"/>
          </w:tcPr>
          <w:p>
            <w:r>
              <w:t>ROCE</w:t>
            </w:r>
          </w:p>
        </w:tc>
        <w:tc>
          <w:tcPr>
            <w:tcW w:type="dxa" w:w="4320"/>
          </w:tcPr>
          <w:p>
            <w:r>
              <w:t>Return on Capital Employed</w:t>
            </w:r>
          </w:p>
        </w:tc>
      </w:tr>
      <w:tr>
        <w:tc>
          <w:tcPr>
            <w:tcW w:type="dxa" w:w="4320"/>
          </w:tcPr>
          <w:p>
            <w:r>
              <w:t>RoDTEP</w:t>
            </w:r>
          </w:p>
        </w:tc>
        <w:tc>
          <w:tcPr>
            <w:tcW w:type="dxa" w:w="4320"/>
          </w:tcPr>
          <w:p>
            <w:r>
              <w:t>Remission of Duties and Taxes on Exported Products</w:t>
            </w:r>
          </w:p>
        </w:tc>
      </w:tr>
      <w:tr>
        <w:tc>
          <w:tcPr>
            <w:tcW w:type="dxa" w:w="4320"/>
          </w:tcPr>
          <w:p>
            <w:r>
              <w:t>RoHS</w:t>
            </w:r>
          </w:p>
        </w:tc>
        <w:tc>
          <w:tcPr>
            <w:tcW w:type="dxa" w:w="4320"/>
          </w:tcPr>
          <w:p>
            <w:r>
              <w:t>Restriction of Hazardous Substances</w:t>
            </w:r>
          </w:p>
        </w:tc>
      </w:tr>
      <w:tr>
        <w:tc>
          <w:tcPr>
            <w:tcW w:type="dxa" w:w="4320"/>
          </w:tcPr>
          <w:p>
            <w:r>
              <w:t>RPO</w:t>
            </w:r>
          </w:p>
        </w:tc>
        <w:tc>
          <w:tcPr>
            <w:tcW w:type="dxa" w:w="4320"/>
          </w:tcPr>
          <w:p>
            <w:r>
              <w:t>Renewable Purchase Obligations</w:t>
            </w:r>
          </w:p>
        </w:tc>
      </w:tr>
      <w:tr>
        <w:tc>
          <w:tcPr>
            <w:tcW w:type="dxa" w:w="4320"/>
          </w:tcPr>
          <w:p>
            <w:r>
              <w:t>RRTS</w:t>
            </w:r>
          </w:p>
        </w:tc>
        <w:tc>
          <w:tcPr>
            <w:tcW w:type="dxa" w:w="4320"/>
          </w:tcPr>
          <w:p>
            <w:r>
              <w:t>Regional rapid transit systems</w:t>
            </w:r>
          </w:p>
        </w:tc>
      </w:tr>
      <w:tr>
        <w:tc>
          <w:tcPr>
            <w:tcW w:type="dxa" w:w="4320"/>
          </w:tcPr>
          <w:p>
            <w:r>
              <w:t>SAE</w:t>
            </w:r>
          </w:p>
        </w:tc>
        <w:tc>
          <w:tcPr>
            <w:tcW w:type="dxa" w:w="4320"/>
          </w:tcPr>
          <w:p>
            <w:r>
              <w:t>Second Advance Estimates</w:t>
            </w:r>
          </w:p>
        </w:tc>
      </w:tr>
      <w:tr>
        <w:tc>
          <w:tcPr>
            <w:tcW w:type="dxa" w:w="4320"/>
          </w:tcPr>
          <w:p>
            <w:r>
              <w:t>SECI</w:t>
            </w:r>
          </w:p>
        </w:tc>
        <w:tc>
          <w:tcPr>
            <w:tcW w:type="dxa" w:w="4320"/>
          </w:tcPr>
          <w:p>
            <w:r>
              <w:t>Riverside Exports Limited of Ironclad Engineering Pvt. Ltd.</w:t>
            </w:r>
          </w:p>
        </w:tc>
      </w:tr>
      <w:tr>
        <w:tc>
          <w:tcPr>
            <w:tcW w:type="dxa" w:w="4320"/>
          </w:tcPr>
          <w:p>
            <w:r>
              <w:t>TIES</w:t>
            </w:r>
          </w:p>
        </w:tc>
        <w:tc>
          <w:tcPr>
            <w:tcW w:type="dxa" w:w="4320"/>
          </w:tcPr>
          <w:p>
            <w:r>
              <w:t>Trade Infrastructure for Export Scheme</w:t>
            </w:r>
          </w:p>
        </w:tc>
      </w:tr>
      <w:tr>
        <w:tc>
          <w:tcPr>
            <w:tcW w:type="dxa" w:w="4320"/>
          </w:tcPr>
          <w:p>
            <w:r>
              <w:t>UK</w:t>
            </w:r>
          </w:p>
        </w:tc>
        <w:tc>
          <w:tcPr>
            <w:tcW w:type="dxa" w:w="4320"/>
          </w:tcPr>
          <w:p>
            <w:r>
              <w:t>United Kingdom</w:t>
            </w:r>
          </w:p>
        </w:tc>
      </w:tr>
      <w:tr>
        <w:tc>
          <w:tcPr>
            <w:tcW w:type="dxa" w:w="4320"/>
          </w:tcPr>
          <w:p>
            <w:r>
              <w:t>UL</w:t>
            </w:r>
          </w:p>
        </w:tc>
        <w:tc>
          <w:tcPr>
            <w:tcW w:type="dxa" w:w="4320"/>
          </w:tcPr>
          <w:p>
            <w:r>
              <w:t>Underwriters Laboratories</w:t>
            </w:r>
          </w:p>
        </w:tc>
      </w:tr>
      <w:tr>
        <w:tc>
          <w:tcPr>
            <w:tcW w:type="dxa" w:w="4320"/>
          </w:tcPr>
          <w:p>
            <w:r>
              <w:t>W&amp;C</w:t>
            </w:r>
          </w:p>
        </w:tc>
        <w:tc>
          <w:tcPr>
            <w:tcW w:type="dxa" w:w="4320"/>
          </w:tcPr>
          <w:p>
            <w:r>
              <w:t>Wires and cables</w:t>
            </w:r>
          </w:p>
        </w:tc>
      </w:tr>
      <w:tr>
        <w:tc>
          <w:tcPr>
            <w:tcW w:type="dxa" w:w="4320"/>
          </w:tcPr>
          <w:p>
            <w:r>
              <w:t>WEO</w:t>
            </w:r>
          </w:p>
        </w:tc>
        <w:tc>
          <w:tcPr>
            <w:tcW w:type="dxa" w:w="4320"/>
          </w:tcPr>
          <w:p>
            <w:r>
              <w:t>World Economic Outlook</w:t>
            </w:r>
          </w:p>
        </w:tc>
      </w:tr>
      <w:tr>
        <w:tc>
          <w:tcPr>
            <w:tcW w:type="dxa" w:w="4320"/>
          </w:tcPr>
          <w:p>
            <w:r>
              <w:t>Y-O-Y</w:t>
            </w:r>
          </w:p>
        </w:tc>
        <w:tc>
          <w:tcPr>
            <w:tcW w:type="dxa" w:w="4320"/>
          </w:tcPr>
          <w:p>
            <w:r>
              <w:t>Year-on-year Growth</w:t>
            </w:r>
          </w:p>
        </w:tc>
      </w:tr>
    </w:tbl>
    <w:p/>
    <w:p/>
    <w:p>
      <w:pPr>
        <w:pStyle w:val="Heading3"/>
      </w:pPr>
      <w:r>
        <w:t>Key Financial and Operating Metrics used in this Red Herring Prospectus</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8640"/>
            <w:gridSpan w:val="2"/>
          </w:tcPr>
          <w:p>
            <w:r>
              <w:t>A.  Financial metrics</w:t>
            </w:r>
          </w:p>
        </w:tc>
      </w:tr>
      <w:tr>
        <w:tc>
          <w:tcPr>
            <w:tcW w:type="dxa" w:w="4320"/>
          </w:tcPr>
          <w:p>
            <w:r>
              <w:t>Profit After Tax</w:t>
            </w:r>
          </w:p>
        </w:tc>
        <w:tc>
          <w:tcPr>
            <w:tcW w:type="dxa" w:w="4320"/>
          </w:tcPr>
          <w:p>
            <w:r>
              <w:t>Profit for the year is used by the management to track the overall profitability of the business</w:t>
            </w:r>
          </w:p>
        </w:tc>
      </w:tr>
      <w:tr>
        <w:tc>
          <w:tcPr>
            <w:tcW w:type="dxa" w:w="4320"/>
          </w:tcPr>
          <w:p>
            <w:r>
              <w:t>Revenue from Operations</w:t>
            </w:r>
          </w:p>
        </w:tc>
        <w:tc>
          <w:tcPr>
            <w:tcW w:type="dxa" w:w="4320"/>
          </w:tcPr>
          <w:p>
            <w:r>
              <w:t>Revenue from operation means revenue from operating activities</w:t>
            </w:r>
          </w:p>
        </w:tc>
      </w:tr>
      <w:tr>
        <w:tc>
          <w:tcPr>
            <w:tcW w:type="dxa" w:w="4320"/>
          </w:tcPr>
          <w:p>
            <w:r>
              <w:t>Total Income</w:t>
            </w:r>
          </w:p>
        </w:tc>
        <w:tc>
          <w:tcPr>
            <w:tcW w:type="dxa" w:w="4320"/>
          </w:tcPr>
          <w:p>
            <w:r>
              <w:t>Total Income is calculated as the sum of revenue from operations and other income</w:t>
            </w:r>
          </w:p>
        </w:tc>
      </w:tr>
      <w:tr>
        <w:tc>
          <w:tcPr>
            <w:tcW w:type="dxa" w:w="8640"/>
            <w:gridSpan w:val="2"/>
          </w:tcPr>
          <w:p>
            <w:r>
              <w:t>B.  Non-GAAP Measures</w:t>
            </w:r>
          </w:p>
        </w:tc>
      </w:tr>
      <w:tr>
        <w:tc>
          <w:tcPr>
            <w:tcW w:type="dxa" w:w="4320"/>
          </w:tcPr>
          <w:p>
            <w:r>
              <w:t>EBITDA</w:t>
            </w:r>
          </w:p>
        </w:tc>
        <w:tc>
          <w:tcPr>
            <w:tcW w:type="dxa" w:w="4320"/>
          </w:tcPr>
          <w:p>
            <w:r>
              <w:t>EBITDA is calculated as profit for the period minus other income plus finance costs, depreciation and amortization and total tax expense</w:t>
            </w:r>
          </w:p>
        </w:tc>
      </w:tr>
      <w:tr>
        <w:tc>
          <w:tcPr>
            <w:tcW w:type="dxa" w:w="4320"/>
          </w:tcPr>
          <w:p>
            <w:r>
              <w:t>EBITDA CAGR (FY23 - FY25)</w:t>
            </w:r>
          </w:p>
        </w:tc>
        <w:tc>
          <w:tcPr>
            <w:tcW w:type="dxa" w:w="4320"/>
          </w:tcPr>
          <w:p>
            <w:r>
              <w:t>EBITDA CAGR provides information regarding growth in EBITDA over a period</w:t>
            </w:r>
          </w:p>
        </w:tc>
      </w:tr>
      <w:tr>
        <w:tc>
          <w:tcPr>
            <w:tcW w:type="dxa" w:w="4320"/>
          </w:tcPr>
          <w:p>
            <w:r>
              <w:t>EBITDA Margin</w:t>
            </w:r>
          </w:p>
        </w:tc>
        <w:tc>
          <w:tcPr>
            <w:tcW w:type="dxa" w:w="4320"/>
          </w:tcPr>
          <w:p>
            <w:r>
              <w:t>EBITDA Margin is calculated as EBITDA divided by revenue from operations</w:t>
            </w:r>
          </w:p>
        </w:tc>
      </w:tr>
      <w:tr>
        <w:tc>
          <w:tcPr>
            <w:tcW w:type="dxa" w:w="4320"/>
          </w:tcPr>
          <w:p>
            <w:r>
              <w:t>Fixed Asset Turnover Ratio</w:t>
            </w:r>
          </w:p>
        </w:tc>
        <w:tc>
          <w:tcPr>
            <w:tcW w:type="dxa" w:w="4320"/>
          </w:tcPr>
          <w:p>
            <w:r>
              <w:t>Fixed Asset Turnover Ratio is calculated as Revenue from Operations divided by property, plant and equipment</w:t>
            </w:r>
          </w:p>
        </w:tc>
      </w:tr>
      <w:tr>
        <w:tc>
          <w:tcPr>
            <w:tcW w:type="dxa" w:w="4320"/>
          </w:tcPr>
          <w:p>
            <w:r>
              <w:t>Net Debt/ EBITDA</w:t>
            </w:r>
          </w:p>
        </w:tc>
        <w:tc>
          <w:tcPr>
            <w:tcW w:type="dxa" w:w="4320"/>
          </w:tcPr>
          <w:p>
            <w:r>
              <w:t>Net Debt/ EBITDA is calculated as net debt divided by EBITDA. Net debt is calculated as the sum of long-term borrowings and short-term borrowings less cash and cash equivalents and other bank balances</w:t>
            </w:r>
          </w:p>
        </w:tc>
      </w:tr>
      <w:tr>
        <w:tc>
          <w:tcPr>
            <w:tcW w:type="dxa" w:w="4320"/>
          </w:tcPr>
          <w:p>
            <w:r>
              <w:t>Net Debt/ Equity</w:t>
            </w:r>
          </w:p>
        </w:tc>
        <w:tc>
          <w:tcPr>
            <w:tcW w:type="dxa" w:w="4320"/>
          </w:tcPr>
          <w:p>
            <w:r>
              <w:t>Net Debt/ Equity is calculated as net debt divided by total equity. Net debt is calculated as the sum</w:t>
              <w:br/>
              <w:t>of long-term borrowings and short-term borrowings less cash and cash equivalents and other bank balances. Total equity is calculated as share capital plus reserves and surplus</w:t>
            </w:r>
          </w:p>
        </w:tc>
      </w:tr>
      <w:tr>
        <w:tc>
          <w:tcPr>
            <w:tcW w:type="dxa" w:w="4320"/>
          </w:tcPr>
          <w:p>
            <w:r>
              <w:t>Net Working Capital Days</w:t>
            </w:r>
          </w:p>
        </w:tc>
        <w:tc>
          <w:tcPr>
            <w:tcW w:type="dxa" w:w="4320"/>
          </w:tcPr>
          <w:p>
            <w:r>
              <w:t>Working capital days is computed as inventory days plus trade receivable days minus trade payable days. Inventory days is calculated as inventory divided by cost of goods sold (“COGS”) from operations multiplied by 365 or 91 days. Trade receivables days is calculated as trade</w:t>
              <w:br/>
              <w:t>receivables divided by revenue from operations multiplied by 365 or 91 days. Trade payable days is calculated as trade payable divided by COGS multiplied by 365 or 91 days</w:t>
            </w:r>
          </w:p>
        </w:tc>
      </w:tr>
      <w:tr>
        <w:tc>
          <w:tcPr>
            <w:tcW w:type="dxa" w:w="4320"/>
          </w:tcPr>
          <w:p>
            <w:r>
              <w:t>PAT CAGR (FY23 - FY25)</w:t>
            </w:r>
          </w:p>
        </w:tc>
        <w:tc>
          <w:tcPr>
            <w:tcW w:type="dxa" w:w="4320"/>
          </w:tcPr>
          <w:p>
            <w:r>
              <w:t>PAT CAGR provides information regarding growth in PAT over a period</w:t>
            </w:r>
          </w:p>
        </w:tc>
      </w:tr>
      <w:tr>
        <w:tc>
          <w:tcPr>
            <w:tcW w:type="dxa" w:w="4320"/>
          </w:tcPr>
          <w:p>
            <w:r>
              <w:t>Profit After Tax Margin</w:t>
            </w:r>
          </w:p>
        </w:tc>
        <w:tc>
          <w:tcPr>
            <w:tcW w:type="dxa" w:w="4320"/>
          </w:tcPr>
          <w:p>
            <w:r>
              <w:t>PAT Margin is calculated as profit for the period divided by Total Income</w:t>
            </w:r>
          </w:p>
        </w:tc>
      </w:tr>
      <w:tr>
        <w:tc>
          <w:tcPr>
            <w:tcW w:type="dxa" w:w="4320"/>
          </w:tcPr>
          <w:p>
            <w:r>
              <w:t>Revenue CAGR (FY23 - FY25)</w:t>
            </w:r>
          </w:p>
        </w:tc>
        <w:tc>
          <w:tcPr>
            <w:tcW w:type="dxa" w:w="4320"/>
          </w:tcPr>
          <w:p>
            <w:r>
              <w:t>Revenue CAGR provides information regarding growth in revenue over a period</w:t>
            </w:r>
          </w:p>
        </w:tc>
      </w:tr>
      <w:tr>
        <w:tc>
          <w:tcPr>
            <w:tcW w:type="dxa" w:w="4320"/>
          </w:tcPr>
          <w:p>
            <w:r>
              <w:t>ROCE</w:t>
            </w:r>
          </w:p>
        </w:tc>
        <w:tc>
          <w:tcPr>
            <w:tcW w:type="dxa" w:w="4320"/>
          </w:tcPr>
          <w:p>
            <w: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br/>
              <w:t>bank balances</w:t>
            </w:r>
          </w:p>
        </w:tc>
      </w:tr>
      <w:tr>
        <w:tc>
          <w:tcPr>
            <w:tcW w:type="dxa" w:w="4320"/>
          </w:tcPr>
          <w:p>
            <w:r>
              <w:t>ROE</w:t>
            </w:r>
          </w:p>
        </w:tc>
        <w:tc>
          <w:tcPr>
            <w:tcW w:type="dxa" w:w="4320"/>
          </w:tcPr>
          <w:p>
            <w:r>
              <w:t>Return</w:t>
              <w:tab/>
              <w:t>on</w:t>
              <w:tab/>
              <w:t>Equity</w:t>
              <w:tab/>
              <w:t>is</w:t>
              <w:tab/>
              <w:t>calculated</w:t>
              <w:tab/>
              <w:t>as</w:t>
              <w:tab/>
              <w:t>PAT</w:t>
              <w:tab/>
              <w:t>divided</w:t>
              <w:tab/>
              <w:t>by</w:t>
              <w:tab/>
              <w:t>Total</w:t>
              <w:tab/>
              <w:t>Equity. Total Equity is calculated as share capital plus reserves and surplus</w:t>
            </w:r>
          </w:p>
        </w:tc>
      </w:tr>
      <w:tr>
        <w:tc>
          <w:tcPr>
            <w:tcW w:type="dxa" w:w="4320"/>
          </w:tcPr>
          <w:p>
            <w:r>
              <w:t>Y-o-Y Revenue growth</w:t>
            </w:r>
          </w:p>
        </w:tc>
        <w:tc>
          <w:tcPr>
            <w:tcW w:type="dxa" w:w="4320"/>
          </w:tcPr>
          <w:p>
            <w:r>
              <w:t>Growth in Revenue from Operations provides information regarding the growth of the business over the respective years</w:t>
            </w:r>
          </w:p>
        </w:tc>
      </w:tr>
      <w:tr>
        <w:tc>
          <w:tcPr>
            <w:tcW w:type="dxa" w:w="8640"/>
            <w:gridSpan w:val="2"/>
          </w:tcPr>
          <w:p>
            <w:r>
              <w:t>C.  Operational measures</w:t>
            </w:r>
          </w:p>
        </w:tc>
      </w:tr>
      <w:tr>
        <w:tc>
          <w:tcPr>
            <w:tcW w:type="dxa" w:w="4320"/>
          </w:tcPr>
          <w:p>
            <w:r>
              <w:t>Magnet winding wires sales volume</w:t>
            </w:r>
          </w:p>
        </w:tc>
        <w:tc>
          <w:tcPr>
            <w:tcW w:type="dxa" w:w="4320"/>
          </w:tcPr>
          <w:p>
            <w:r>
              <w:t>Magnet winding wires sales volume is used by the management to assess the overall market demand for our Company's products and to evaluate the effectiveness of sales strategies across the</w:t>
              <w:br/>
              <w:t>product category</w:t>
            </w:r>
          </w:p>
        </w:tc>
      </w:tr>
      <w:tr>
        <w:tc>
          <w:tcPr>
            <w:tcW w:type="dxa" w:w="4320"/>
          </w:tcPr>
          <w:p>
            <w:r>
              <w:t>Production capacity</w:t>
            </w:r>
          </w:p>
        </w:tc>
        <w:tc>
          <w:tcPr>
            <w:tcW w:type="dxa" w:w="4320"/>
          </w:tcPr>
          <w:p>
            <w:r>
              <w:t>Production capacity indicates the maximum output that can be produced</w:t>
            </w:r>
          </w:p>
        </w:tc>
      </w:tr>
      <w:tr>
        <w:tc>
          <w:tcPr>
            <w:tcW w:type="dxa" w:w="4320"/>
          </w:tcPr>
          <w:p>
            <w:r>
              <w:t>Revenue from Exports</w:t>
            </w:r>
          </w:p>
        </w:tc>
        <w:tc>
          <w:tcPr>
            <w:tcW w:type="dxa" w:w="4320"/>
          </w:tcPr>
          <w:p>
            <w:r>
              <w:t>Revenue from exports indicates the revenue generated outside the country of our Company</w:t>
            </w:r>
          </w:p>
        </w:tc>
      </w:tr>
      <w:tr>
        <w:tc>
          <w:tcPr>
            <w:tcW w:type="dxa" w:w="4320"/>
          </w:tcPr>
          <w:p>
            <w:r>
              <w:t>Volume Growth</w:t>
            </w:r>
          </w:p>
        </w:tc>
        <w:tc>
          <w:tcPr>
            <w:tcW w:type="dxa" w:w="4320"/>
          </w:tcPr>
          <w:p>
            <w:r>
              <w:t>Growth in volumes provides information regarding the growth in market demand for our Company's products across various product categories over the respective years</w:t>
            </w:r>
          </w:p>
        </w:tc>
      </w:tr>
    </w:tbl>
    <w:p>
      <w:pPr>
        <w:pStyle w:val="BodyText"/>
      </w:pPr>
    </w:p>
    <w:p/>
    <w:p>
      <w:pPr>
        <w:pStyle w:val="Heading2"/>
      </w:pPr>
      <w:r>
        <w:t>CERTAIN CONVENTIONS, USE OF FINANCIAL INFORMATION AND MARKET DATA AND CURRENCY OF PRESENTATION</w:t>
      </w:r>
    </w:p>
    <w:p>
      <w:pPr>
        <w:pStyle w:val="Heading3"/>
      </w:pPr>
      <w:r>
        <w:t>Certain Conventions</w:t>
      </w:r>
    </w:p>
    <w:p>
      <w:pPr>
        <w:pStyle w:val="BodyText"/>
      </w:pPr>
      <w:r>
        <w:t>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p>
    <w:p>
      <w:pPr>
        <w:pStyle w:val="BodyText"/>
      </w:pPr>
      <w:r>
        <w:t>Unless indicated otherwise, all references to page numbers in this Red Herring Prospectus are to page numbers of this Red Herring Prospectus.</w:t>
      </w:r>
    </w:p>
    <w:p>
      <w:pPr>
        <w:pStyle w:val="Heading3"/>
      </w:pPr>
      <w:r>
        <w:t>Financial Data</w:t>
      </w:r>
    </w:p>
    <w:p>
      <w:pPr>
        <w:pStyle w:val="BodyText"/>
      </w:pP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Text"/>
      </w:pP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Text"/>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pPr>
        <w:pStyle w:val="BodyText"/>
      </w:pPr>
    </w:p>
    <w:p>
      <w: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Text"/>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Text"/>
      </w:pPr>
      <w:r>
        <w:t>Further, any figures sourced from third party industry sources may be rounded off to other than to the second decimal to conform to their respective sources.</w:t>
      </w:r>
    </w:p>
    <w:p>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Restated Financial Statements or non-GAAP financial measures as described below.</w:t>
      </w:r>
    </w:p>
    <w:p/>
    <w:p>
      <w:pPr>
        <w:pStyle w:val="Heading3"/>
      </w:pPr>
      <w:r>
        <w:t>Non-GAAP Financial Measures</w:t>
      </w:r>
    </w:p>
    <w:p>
      <w:pPr>
        <w:pStyle w:val="BodyText"/>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3"/>
      </w:pPr>
      <w:r>
        <w:t>Industry and Market Data</w:t>
      </w:r>
    </w:p>
    <w:p>
      <w:pPr>
        <w:pStyle w:val="BodyText"/>
      </w:pPr>
      <w:r>
        <w:t>Unless stated otherwise, industry and market data used in this Red Herring Prospectus has been obtained or derived from the report titled “Industry Research Report on Magnet Winding Wires Market in India” dated November 26, 2025 (“CARE Report”), prepared by CARE Analytics and Pinnacle Steel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Text"/>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Text"/>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Text"/>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Text"/>
      </w:pPr>
    </w:p>
    <w:p>
      <w:pPr>
        <w:pStyle w:val="Heading3"/>
      </w:pPr>
      <w:r>
        <w:t>Currency and Units of Presentation</w:t>
      </w:r>
    </w:p>
    <w:p>
      <w:pPr>
        <w:pStyle w:val="BodyText"/>
      </w:pPr>
      <w:r>
        <w:t>All references to:</w:t>
      </w:r>
    </w:p>
    <w:p>
      <w:pPr>
        <w:pStyle w:val="ListParagraph"/>
      </w:pPr>
      <w:r>
        <w:t>“Rupees” or “INR” or “₹” or “Rs.” are to Indian Rupees, the official currency of the Republic of India;</w:t>
      </w:r>
    </w:p>
    <w:p>
      <w:pPr>
        <w:pStyle w:val="ListParagraph"/>
      </w:pPr>
      <w:r>
        <w:t>“U.S $”, “U.S. Dollar”, “USD” are to United States Dollars, the official currency of the United States of America;</w:t>
      </w:r>
    </w:p>
    <w:p>
      <w:pPr>
        <w:pStyle w:val="ListParagraph"/>
      </w:pPr>
      <w:r>
        <w:t>‘EUR’, ‘Euro’ and ‘€’ are to the official currency of the European Union; and</w:t>
      </w:r>
    </w:p>
    <w:p>
      <w:pPr>
        <w:pStyle w:val="ListParagraph"/>
      </w:pPr>
      <w:r>
        <w:t>“SEK” are to Swedish Krona, the official currency of Sweden.</w:t>
      </w:r>
    </w:p>
    <w:p>
      <w:pPr>
        <w:pStyle w:val="BodyText"/>
      </w:pP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3"/>
      </w:pPr>
      <w:r>
        <w:t>Time</w:t>
      </w:r>
    </w:p>
    <w:p>
      <w:pPr>
        <w:pStyle w:val="BodyText"/>
      </w:pPr>
      <w:r>
        <w:t>All references to time in this Red Herring Prospectus are to Indian Standard Time.</w:t>
      </w:r>
    </w:p>
    <w:p>
      <w:pPr>
        <w:pStyle w:val="Heading3"/>
      </w:pPr>
      <w:r>
        <w:t>Exchange Rates</w:t>
      </w:r>
    </w:p>
    <w:p>
      <w:pPr>
        <w:pStyle w:val="BodyText"/>
      </w:pPr>
      <w:r>
        <w:t>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pPr>
        <w:pStyle w:val="BodyText"/>
      </w:pPr>
      <w:r>
        <w:t>The following table sets forth, for the periods indicated, information with respect to the exchange rate between the ₹and the respective foreign currencies:</w:t>
      </w:r>
    </w:p>
    <w:p>
      <w:r>
        <w:t>(in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Currency</w:t>
            </w:r>
          </w:p>
        </w:tc>
        <w:tc>
          <w:tcPr>
            <w:tcW w:type="dxa" w:w="6912"/>
            <w:gridSpan w:val="4"/>
          </w:tcPr>
          <w:p>
            <w:r>
              <w:t>As at</w:t>
            </w:r>
          </w:p>
        </w:tc>
      </w:tr>
      <w:tr>
        <w:tc>
          <w:tcPr>
            <w:tcW w:type="dxa" w:w="1728"/>
          </w:tcPr>
          <w:p>
            <w:r>
              <w:t>Currency</w:t>
            </w:r>
          </w:p>
        </w:tc>
        <w:tc>
          <w:tcPr>
            <w:tcW w:type="dxa" w:w="1728"/>
          </w:tcPr>
          <w:p>
            <w:r>
              <w:t>June 30, 2025</w:t>
            </w:r>
          </w:p>
        </w:tc>
        <w:tc>
          <w:tcPr>
            <w:tcW w:type="dxa" w:w="1728"/>
          </w:tcPr>
          <w:p>
            <w:r>
              <w:t>March 31, 2025</w:t>
            </w:r>
          </w:p>
        </w:tc>
        <w:tc>
          <w:tcPr>
            <w:tcW w:type="dxa" w:w="1728"/>
          </w:tcPr>
          <w:p>
            <w:r>
              <w:t>March 31, 2024</w:t>
            </w:r>
          </w:p>
        </w:tc>
        <w:tc>
          <w:tcPr>
            <w:tcW w:type="dxa" w:w="1728"/>
          </w:tcPr>
          <w:p>
            <w:r>
              <w:t>March 31, 2023</w:t>
            </w:r>
          </w:p>
        </w:tc>
      </w:tr>
      <w:tr>
        <w:tc>
          <w:tcPr>
            <w:tcW w:type="dxa" w:w="1728"/>
          </w:tcPr>
          <w:p>
            <w:r>
              <w:t>1 USD</w:t>
            </w:r>
          </w:p>
        </w:tc>
        <w:tc>
          <w:tcPr>
            <w:tcW w:type="dxa" w:w="1728"/>
          </w:tcPr>
          <w:p>
            <w:r>
              <w:t>85.54</w:t>
            </w:r>
          </w:p>
        </w:tc>
        <w:tc>
          <w:tcPr>
            <w:tcW w:type="dxa" w:w="1728"/>
          </w:tcPr>
          <w:p>
            <w:r>
              <w:t>85.58</w:t>
            </w:r>
          </w:p>
        </w:tc>
        <w:tc>
          <w:tcPr>
            <w:tcW w:type="dxa" w:w="1728"/>
          </w:tcPr>
          <w:p>
            <w:r>
              <w:t>83.37</w:t>
            </w:r>
          </w:p>
        </w:tc>
        <w:tc>
          <w:tcPr>
            <w:tcW w:type="dxa" w:w="1728"/>
          </w:tcPr>
          <w:p>
            <w:r>
              <w:t>82.22</w:t>
            </w:r>
          </w:p>
        </w:tc>
      </w:tr>
      <w:tr>
        <w:tc>
          <w:tcPr>
            <w:tcW w:type="dxa" w:w="1728"/>
          </w:tcPr>
          <w:p>
            <w:r>
              <w:t>1 EUR</w:t>
            </w:r>
          </w:p>
        </w:tc>
        <w:tc>
          <w:tcPr>
            <w:tcW w:type="dxa" w:w="1728"/>
          </w:tcPr>
          <w:p>
            <w:r>
              <w:t>100.45</w:t>
            </w:r>
          </w:p>
        </w:tc>
        <w:tc>
          <w:tcPr>
            <w:tcW w:type="dxa" w:w="1728"/>
          </w:tcPr>
          <w:p>
            <w:r>
              <w:t>92.32</w:t>
            </w:r>
          </w:p>
        </w:tc>
        <w:tc>
          <w:tcPr>
            <w:tcW w:type="dxa" w:w="1728"/>
          </w:tcPr>
          <w:p>
            <w:r>
              <w:t>90.22</w:t>
            </w:r>
          </w:p>
        </w:tc>
        <w:tc>
          <w:tcPr>
            <w:tcW w:type="dxa" w:w="1728"/>
          </w:tcPr>
          <w:p>
            <w:r>
              <w:t>89.61</w:t>
            </w:r>
          </w:p>
        </w:tc>
      </w:tr>
      <w:tr>
        <w:tc>
          <w:tcPr>
            <w:tcW w:type="dxa" w:w="1728"/>
          </w:tcPr>
          <w:p>
            <w:r>
              <w:t>1 SEK</w:t>
            </w:r>
          </w:p>
        </w:tc>
        <w:tc>
          <w:tcPr>
            <w:tcW w:type="dxa" w:w="1728"/>
          </w:tcPr>
          <w:p>
            <w:r>
              <w:t>9.00</w:t>
            </w:r>
          </w:p>
        </w:tc>
        <w:tc>
          <w:tcPr>
            <w:tcW w:type="dxa" w:w="1728"/>
          </w:tcPr>
          <w:p>
            <w:r>
              <w:t>8.54</w:t>
            </w:r>
          </w:p>
        </w:tc>
        <w:tc>
          <w:tcPr>
            <w:tcW w:type="dxa" w:w="1728"/>
          </w:tcPr>
          <w:p>
            <w:r>
              <w:t>7.82</w:t>
            </w:r>
          </w:p>
        </w:tc>
        <w:tc>
          <w:tcPr>
            <w:tcW w:type="dxa" w:w="1728"/>
          </w:tcPr>
          <w:p>
            <w:r>
              <w:t>7.91</w:t>
            </w:r>
          </w:p>
        </w:tc>
      </w:tr>
    </w:tbl>
    <w:p/>
    <w:p>
      <w:r>
        <w:t>Source: FBIL Reference Rate as available on www.fbil.org.in. and www.oanda.com/bvi-en/ Notes:</w:t>
      </w:r>
    </w:p>
    <w:p>
      <w:pPr>
        <w:pStyle w:val="ListParagraph"/>
      </w:pPr>
      <w:r>
        <w:t>The exchange rates are rounded off to two decimal places.</w:t>
      </w:r>
    </w:p>
    <w:p>
      <w:pPr>
        <w:pStyle w:val="ListParagraph"/>
      </w:pPr>
      <w:r>
        <w:t>In the event that any of the aforementioned date is a public holiday, the previous calendar day not being a public holiday has been considered.</w:t>
      </w:r>
    </w:p>
    <w:p>
      <w:pPr>
        <w:pStyle w:val="ListParagraph"/>
      </w:pPr>
    </w:p>
    <w:p>
      <w:pPr>
        <w:pStyle w:val="Heading2"/>
      </w:pPr>
      <w:r>
        <w:t>FORWARD-LOOKING STATEMENTS</w:t>
      </w:r>
    </w:p>
    <w:p>
      <w:pPr>
        <w:pStyle w:val="BodyText"/>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Text"/>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pPr>
        <w:pStyle w:val="BodyText"/>
      </w:pPr>
      <w:r>
        <w:t>Certain important factors that could cause actual results to differ materially from our expectations include, but are not lim ited to, the following:</w:t>
      </w:r>
    </w:p>
    <w:p>
      <w:pPr>
        <w:pStyle w:val="ListParagraph"/>
      </w:pPr>
      <w:r>
        <w:t>Reliance on our key customers;</w:t>
      </w:r>
    </w:p>
    <w:p>
      <w:pPr>
        <w:pStyle w:val="ListParagraph"/>
      </w:pPr>
      <w:r>
        <w:t>Reliance on our key suppliers;</w:t>
      </w:r>
    </w:p>
    <w:p>
      <w:pPr>
        <w:pStyle w:val="ListParagraph"/>
      </w:pPr>
      <w:r>
        <w:t>Price and availability of primary raw materials i.e. copper and aluminium, and insulating materials such as enamel and paper;</w:t>
      </w:r>
    </w:p>
    <w:p>
      <w:pPr>
        <w:pStyle w:val="ListParagraph"/>
      </w:pPr>
      <w:r>
        <w:t>Reliance on the power sector (generation, transmission and distribution) industry;</w:t>
      </w:r>
    </w:p>
    <w:p>
      <w:pPr>
        <w:pStyle w:val="ListParagraph"/>
      </w:pPr>
      <w:r>
        <w:t>Reliance on the sale of our key product segment i.e., specialized magnet winding wires;</w:t>
      </w:r>
    </w:p>
    <w:p>
      <w:pPr>
        <w:pStyle w:val="ListParagraph"/>
      </w:pPr>
      <w:r>
        <w:t>Delay in or inability of the vendors to provide the equipment in a timely manner in relation to the capital expenditure to be incurred for certain of our proposed objects of the Offer;</w:t>
      </w:r>
    </w:p>
    <w:p>
      <w:pPr>
        <w:pStyle w:val="ListParagraph"/>
      </w:pPr>
      <w:r>
        <w:t>Any unscheduled, unplanned or prolonged disruption, slowdown or shutdown of our manufacturing facilities;</w:t>
      </w:r>
    </w:p>
    <w:p>
      <w:pPr>
        <w:pStyle w:val="ListParagraph"/>
      </w:pPr>
      <w:r>
        <w:t>Any delays or cost overruns in the completion of the construction of the Supa Facility;</w:t>
      </w:r>
    </w:p>
    <w:p>
      <w:pPr>
        <w:pStyle w:val="ListParagraph"/>
      </w:pPr>
      <w:r>
        <w:t>Product defect issues or failure by us or our raw materials suppliers to comply with the strict quality standards and requirements applicable to our business operations; and</w:t>
      </w:r>
    </w:p>
    <w:p>
      <w:pPr>
        <w:pStyle w:val="ListParagraph"/>
      </w:pPr>
      <w:r>
        <w:t>Reliance on exports and any change in law, regulations and policies of foreign jurisdictions where we sell our products or plan to sell our products.</w:t>
      </w:r>
    </w:p>
    <w:p>
      <w:pPr>
        <w:pStyle w:val="BodyText"/>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Text"/>
      </w:pPr>
    </w:p>
    <w:p>
      <w:pPr>
        <w:pStyle w:val="BodyText"/>
      </w:pPr>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Text"/>
      </w:pPr>
    </w:p>
    <w:p>
      <w:pPr>
        <w:pStyle w:val="Heading2"/>
      </w:pPr>
      <w:r>
        <w:t>SUMMARY OF THE OFFER DOCUMENT</w:t>
      </w:r>
    </w:p>
    <w:p>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3"/>
      </w:pPr>
      <w:r>
        <w:t>Primary business of our Company</w:t>
      </w:r>
    </w:p>
    <w:p>
      <w:pPr>
        <w:pStyle w:val="BodyText"/>
      </w:pPr>
      <w:r>
        <w:t>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r>
        <w:t>For further details, see “Our Business” on page 211.</w:t>
      </w:r>
    </w:p>
    <w:p>
      <w:pPr>
        <w:pStyle w:val="BodyText"/>
      </w:pPr>
    </w:p>
    <w:p>
      <w:pPr>
        <w:pStyle w:val="Heading3"/>
      </w:pPr>
      <w:r>
        <w:t>Summary of industry in which our Company operates</w:t>
      </w:r>
    </w:p>
    <w:p>
      <w:pPr>
        <w:pStyle w:val="BodyText"/>
      </w:pPr>
      <w: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r>
        <w:t>For further details, see “Industry Overview” on page 137.</w:t>
      </w:r>
    </w:p>
    <w:p>
      <w:pPr>
        <w:pStyle w:val="BodyText"/>
      </w:pPr>
    </w:p>
    <w:p>
      <w:pPr>
        <w:pStyle w:val="Heading3"/>
      </w:pPr>
      <w:r>
        <w:t>Our Promoters</w:t>
      </w:r>
    </w:p>
    <w:p>
      <w:pPr>
        <w:pStyle w:val="BodyText"/>
      </w:pPr>
      <w:r>
        <w:t>Emily Davis, Michael Chen, Priya Sharma, Jane Smith, Peter Parker, Granite Logistics LLP, Falcon Capital Limited, Evergreen Textiles Private Limited, Delta Fabrication Limited, Crestline Holdings LLP, Bluewave Industries Pvt. Ltd. and Alpha Ventures Limited are the Promoters of our Company.</w:t>
      </w:r>
    </w:p>
    <w:p>
      <w:r>
        <w:t>For further details, see “Our Promoters and Promoter Group” on page 269.</w:t>
      </w:r>
    </w:p>
    <w:p>
      <w:pPr>
        <w:pStyle w:val="Heading3"/>
      </w:pPr>
      <w:r>
        <w:t>The Offer</w:t>
      </w:r>
    </w:p>
    <w:p>
      <w:pPr>
        <w:pStyle w:val="BodyText"/>
      </w:pPr>
      <w:r>
        <w:t>The following table summarizes the details of the Offer:</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Offer(1)</w:t>
            </w:r>
          </w:p>
        </w:tc>
        <w:tc>
          <w:tcPr>
            <w:tcW w:type="dxa" w:w="4320"/>
          </w:tcPr>
          <w:p>
            <w:r>
              <w:t>Up to [●] Equity Shares of face value of ₹5 each for cash at price of ₹[●] per Equity Share (including a premium of [●] per Equity Share), aggregating up to ₹7,100.00 million</w:t>
            </w:r>
          </w:p>
        </w:tc>
      </w:tr>
      <w:tr>
        <w:tc>
          <w:tcPr>
            <w:tcW w:type="dxa" w:w="4320"/>
          </w:tcPr>
          <w:p>
            <w:r>
              <w:t>Of which</w:t>
            </w:r>
          </w:p>
        </w:tc>
        <w:tc>
          <w:tcPr>
            <w:tcW w:type="dxa" w:w="4320"/>
          </w:tcPr>
          <w:p>
            <w:r/>
          </w:p>
        </w:tc>
      </w:tr>
      <w:tr>
        <w:tc>
          <w:tcPr>
            <w:tcW w:type="dxa" w:w="4320"/>
          </w:tcPr>
          <w:p>
            <w:r>
              <w:t>Fresh Issue(1)</w:t>
            </w:r>
          </w:p>
        </w:tc>
        <w:tc>
          <w:tcPr>
            <w:tcW w:type="dxa" w:w="4320"/>
          </w:tcPr>
          <w:p>
            <w:r>
              <w:t>Up to [●] Equity Shares of face value of ₹5 each aggregating up to ₹4,200.00 million</w:t>
            </w:r>
          </w:p>
        </w:tc>
      </w:tr>
      <w:tr>
        <w:tc>
          <w:tcPr>
            <w:tcW w:type="dxa" w:w="4320"/>
          </w:tcPr>
          <w:p>
            <w:r>
              <w:t>Offer for Sale(2)</w:t>
            </w:r>
          </w:p>
        </w:tc>
        <w:tc>
          <w:tcPr>
            <w:tcW w:type="dxa" w:w="4320"/>
          </w:tcPr>
          <w:p>
            <w:r>
              <w:t>Up to [●] Equity Shares of face value of ₹5 each aggregating up to ₹2,900.00 million</w:t>
            </w:r>
          </w:p>
        </w:tc>
      </w:tr>
    </w:tbl>
    <w:p>
      <w:pPr>
        <w:pStyle w:val="BodyText"/>
      </w:pPr>
    </w:p>
    <w:p>
      <w:pPr>
        <w:pStyle w:val="ListParagraph"/>
      </w:pPr>
      <w:r>
        <w:t>The Offer has been authorized pursuant to the resolution passed by our Board dated May 6, 2025 and the Fresh Issue has been authorized by our Shareholders pursuant to a special resolution passed on May 6, 2025.</w:t>
      </w:r>
    </w:p>
    <w:p>
      <w:pPr>
        <w:pStyle w:val="ListParagraph"/>
      </w:pPr>
      <w:r>
        <w:t>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p>
    <w:p>
      <w:pPr>
        <w:pStyle w:val="BodyText"/>
      </w:pPr>
      <w:r>
        <w:t>The Offer shall constitute [●]% of the post-Offer paid-up equity share capital of our Company. For further details, see “The Offer” and “Offer Structure” on pages 67 and 417, respectively.</w:t>
      </w:r>
    </w:p>
    <w:p>
      <w:pPr>
        <w:pStyle w:val="Heading3"/>
      </w:pPr>
      <w:r>
        <w:t>Objects of the Offer</w:t>
      </w:r>
    </w:p>
    <w:p>
      <w:pPr>
        <w:pStyle w:val="BodyText"/>
      </w:pPr>
      <w:r>
        <w:t>The Net Proceeds are proposed to be utilised towards the following Objects:</w:t>
      </w:r>
    </w:p>
    <w:p>
      <w:pPr>
        <w:pStyle w:val="BodyText"/>
      </w:pPr>
    </w:p>
    <w:p>
      <w:r>
        <w:t>(₹ in million)</w:t>
      </w:r>
    </w:p>
    <w:tbl>
      <w:tblPr>
        <w:tblStyle w:val="LightGrid-Accent1"/>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Estimated Amount</w:t>
            </w:r>
          </w:p>
        </w:tc>
      </w:tr>
      <w:tr>
        <w:tc>
          <w:tcPr>
            <w:tcW w:type="dxa" w:w="4320"/>
          </w:tcPr>
          <w:p>
            <w:r>
              <w:t>Prepayment and/or repayment, in full or in part, of all or a portion of certain outstanding borrowings availed by our Company</w:t>
            </w:r>
          </w:p>
        </w:tc>
        <w:tc>
          <w:tcPr>
            <w:tcW w:type="dxa" w:w="4320"/>
          </w:tcPr>
          <w:p>
            <w:r>
              <w:t>2,259.77</w:t>
            </w:r>
          </w:p>
        </w:tc>
      </w:tr>
      <w:tr>
        <w:tc>
          <w:tcPr>
            <w:tcW w:type="dxa" w:w="4320"/>
          </w:tcPr>
          <w:p>
            <w:r>
              <w:t>Funding the capital expenditure requirements of our Company towards:</w:t>
              <w:br/>
              <w:t>purchasing and setting up of new machinery for expansion at our Supa Facility</w:t>
              <w:br/>
              <w:t>purchasing and setting up of new machinery at Unit 2 in Chakan, Pune in Maharashtra</w:t>
            </w:r>
          </w:p>
        </w:tc>
        <w:tc>
          <w:tcPr>
            <w:tcW w:type="dxa" w:w="4320"/>
          </w:tcPr>
          <w:p>
            <w:r>
              <w:br/>
              <w:t>870.17</w:t>
            </w:r>
          </w:p>
        </w:tc>
      </w:tr>
      <w:tr>
        <w:tc>
          <w:tcPr>
            <w:tcW w:type="dxa" w:w="4320"/>
          </w:tcPr>
          <w:p>
            <w:r>
              <w:t>Funding the capital expenditure requirements of our Company towards purchasing and setting up of a rooftop solar power plant for power generation at our Supa Facility</w:t>
            </w:r>
          </w:p>
        </w:tc>
        <w:tc>
          <w:tcPr>
            <w:tcW w:type="dxa" w:w="4320"/>
          </w:tcPr>
          <w:p>
            <w:r>
              <w:t>88.28</w:t>
            </w:r>
          </w:p>
        </w:tc>
      </w:tr>
      <w:tr>
        <w:tc>
          <w:tcPr>
            <w:tcW w:type="dxa" w:w="4320"/>
          </w:tcPr>
          <w:p>
            <w:r>
              <w:t>General corporate purposes(1)</w:t>
            </w:r>
          </w:p>
        </w:tc>
        <w:tc>
          <w:tcPr>
            <w:tcW w:type="dxa" w:w="4320"/>
          </w:tcPr>
          <w:p>
            <w:r>
              <w:t>[●]</w:t>
            </w:r>
          </w:p>
        </w:tc>
      </w:tr>
      <w:tr>
        <w:tc>
          <w:tcPr>
            <w:tcW w:type="dxa" w:w="4320"/>
          </w:tcPr>
          <w:p>
            <w:r>
              <w:t>Net Proceeds(1)</w:t>
            </w:r>
          </w:p>
        </w:tc>
        <w:tc>
          <w:tcPr>
            <w:tcW w:type="dxa" w:w="4320"/>
          </w:tcPr>
          <w:p>
            <w:r>
              <w:t>[●]</w:t>
            </w:r>
          </w:p>
        </w:tc>
      </w:tr>
    </w:tbl>
    <w:p/>
    <w:p>
      <w:r>
        <w:t>(1) To be finalised upon determination of the Offer Price and updated in the Prospectus prior to filing with the RoC. The amount utilised for general corporate purposes shall not exceed 25% of the Gross Proceeds.</w:t>
      </w:r>
    </w:p>
    <w:p>
      <w:r>
        <w:t>For further information, see “Objects of the Offer” on page 106.</w:t>
      </w:r>
    </w:p>
    <w:p>
      <w:pPr>
        <w:pStyle w:val="Heading3"/>
      </w:pPr>
      <w:r>
        <w:t>Aggregate pre-Offer and post-Offer shareholding of our Promoters, the members of our Promoter Group, the Promoter Selling Shareholders of our Company</w:t>
      </w:r>
    </w:p>
    <w:p>
      <w:pPr>
        <w:pStyle w:val="BodyText"/>
      </w:pPr>
      <w:r>
        <w:t>The aggregate pre-Offer and post-Offer shareholding of our Promoters, the members of our Promoter Group and Promoter Selling Shareholders as on the date of this Red Herring Prospectus is set out below:</w:t>
      </w:r>
    </w:p>
    <w:p>
      <w:pPr>
        <w:pStyle w:val="BodyText"/>
      </w:pP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t>S.</w:t>
              <w:br/>
              <w:t>No.</w:t>
            </w:r>
          </w:p>
        </w:tc>
        <w:tc>
          <w:tcPr>
            <w:tcW w:type="dxa" w:w="1440"/>
          </w:tcPr>
          <w:p>
            <w:r>
              <w:br/>
              <w:t>Name of the Shareholder</w:t>
            </w:r>
          </w:p>
        </w:tc>
        <w:tc>
          <w:tcPr>
            <w:tcW w:type="dxa" w:w="2880"/>
            <w:gridSpan w:val="2"/>
          </w:tcPr>
          <w:p>
            <w:r>
              <w:t>Pre-Offer equity share capital</w:t>
            </w:r>
          </w:p>
        </w:tc>
        <w:tc>
          <w:tcPr>
            <w:tcW w:type="dxa" w:w="2880"/>
            <w:gridSpan w:val="2"/>
          </w:tcPr>
          <w:p>
            <w:r>
              <w:t>Post-Offer equity share capital^</w:t>
            </w:r>
          </w:p>
        </w:tc>
      </w:tr>
      <w:tr>
        <w:tc>
          <w:tcPr>
            <w:tcW w:type="dxa" w:w="1440"/>
          </w:tcPr>
          <w:p>
            <w:r>
              <w:br/>
              <w:t>S.</w:t>
              <w:br/>
              <w:t>No.</w:t>
            </w:r>
          </w:p>
        </w:tc>
        <w:tc>
          <w:tcPr>
            <w:tcW w:type="dxa" w:w="1440"/>
          </w:tcPr>
          <w:p>
            <w:r>
              <w:t>David Wilson</w:t>
            </w:r>
          </w:p>
        </w:tc>
        <w:tc>
          <w:tcPr>
            <w:tcW w:type="dxa" w:w="1440"/>
          </w:tcPr>
          <w:p>
            <w:r>
              <w:t>No. of Equity Shares of face value of ₹5 each</w:t>
            </w:r>
          </w:p>
        </w:tc>
        <w:tc>
          <w:tcPr>
            <w:tcW w:type="dxa" w:w="1440"/>
          </w:tcPr>
          <w:p>
            <w:r>
              <w:t>% of paid-up Equity Share capital</w:t>
            </w:r>
          </w:p>
        </w:tc>
        <w:tc>
          <w:tcPr>
            <w:tcW w:type="dxa" w:w="1440"/>
          </w:tcPr>
          <w:p>
            <w:r>
              <w:t>No. of Equity Shares of face value of ₹5 each</w:t>
            </w:r>
          </w:p>
        </w:tc>
        <w:tc>
          <w:tcPr>
            <w:tcW w:type="dxa" w:w="1440"/>
          </w:tcPr>
          <w:p>
            <w:r>
              <w:t>% of paid-up Equity Share capital</w:t>
            </w:r>
          </w:p>
        </w:tc>
      </w:tr>
      <w:tr>
        <w:tc>
          <w:tcPr>
            <w:tcW w:type="dxa" w:w="5760"/>
            <w:gridSpan w:val="4"/>
          </w:tcPr>
          <w:p>
            <w:r>
              <w:t>Promoters</w:t>
            </w:r>
          </w:p>
        </w:tc>
        <w:tc>
          <w:tcPr>
            <w:tcW w:type="dxa" w:w="2880"/>
            <w:gridSpan w:val="2"/>
          </w:tcPr>
          <w:p>
            <w:r/>
          </w:p>
        </w:tc>
      </w:tr>
      <w:tr>
        <w:tc>
          <w:tcPr>
            <w:tcW w:type="dxa" w:w="1440"/>
          </w:tcPr>
          <w:p>
            <w:r>
              <w:t>1.</w:t>
            </w:r>
          </w:p>
        </w:tc>
        <w:tc>
          <w:tcPr>
            <w:tcW w:type="dxa" w:w="1440"/>
          </w:tcPr>
          <w:p>
            <w:r>
              <w:t>Anjali Rao</w:t>
            </w:r>
          </w:p>
        </w:tc>
        <w:tc>
          <w:tcPr>
            <w:tcW w:type="dxa" w:w="1440"/>
          </w:tcPr>
          <w:p>
            <w:r>
              <w:t>26,704,570</w:t>
            </w:r>
          </w:p>
        </w:tc>
        <w:tc>
          <w:tcPr>
            <w:tcW w:type="dxa" w:w="1440"/>
          </w:tcPr>
          <w:p>
            <w:r>
              <w:t>47.00%</w:t>
            </w:r>
          </w:p>
        </w:tc>
        <w:tc>
          <w:tcPr>
            <w:tcW w:type="dxa" w:w="1440"/>
          </w:tcPr>
          <w:p>
            <w:r>
              <w:t>[●]</w:t>
            </w:r>
          </w:p>
        </w:tc>
        <w:tc>
          <w:tcPr>
            <w:tcW w:type="dxa" w:w="1440"/>
          </w:tcPr>
          <w:p>
            <w:r>
              <w:t>[●]</w:t>
            </w:r>
          </w:p>
        </w:tc>
      </w:tr>
      <w:tr>
        <w:tc>
          <w:tcPr>
            <w:tcW w:type="dxa" w:w="1440"/>
          </w:tcPr>
          <w:p>
            <w:r>
              <w:t>2.</w:t>
            </w:r>
          </w:p>
        </w:tc>
        <w:tc>
          <w:tcPr>
            <w:tcW w:type="dxa" w:w="1440"/>
          </w:tcPr>
          <w:p>
            <w:r>
              <w:t>Robert Johnson</w:t>
            </w:r>
          </w:p>
        </w:tc>
        <w:tc>
          <w:tcPr>
            <w:tcW w:type="dxa" w:w="1440"/>
          </w:tcPr>
          <w:p>
            <w:r>
              <w:t>7,386,270</w:t>
            </w:r>
          </w:p>
        </w:tc>
        <w:tc>
          <w:tcPr>
            <w:tcW w:type="dxa" w:w="1440"/>
          </w:tcPr>
          <w:p>
            <w:r>
              <w:t>13.00%</w:t>
            </w:r>
          </w:p>
        </w:tc>
        <w:tc>
          <w:tcPr>
            <w:tcW w:type="dxa" w:w="1440"/>
          </w:tcPr>
          <w:p>
            <w:r>
              <w:t>[●]</w:t>
            </w:r>
          </w:p>
        </w:tc>
        <w:tc>
          <w:tcPr>
            <w:tcW w:type="dxa" w:w="1440"/>
          </w:tcPr>
          <w:p>
            <w:r>
              <w:t>[●]</w:t>
            </w:r>
          </w:p>
        </w:tc>
      </w:tr>
      <w:tr>
        <w:tc>
          <w:tcPr>
            <w:tcW w:type="dxa" w:w="1440"/>
          </w:tcPr>
          <w:p>
            <w:r>
              <w:t>3.</w:t>
            </w:r>
          </w:p>
        </w:tc>
        <w:tc>
          <w:tcPr>
            <w:tcW w:type="dxa" w:w="1440"/>
          </w:tcPr>
          <w:p>
            <w:r>
              <w:t>Neha Verma</w:t>
            </w:r>
          </w:p>
        </w:tc>
        <w:tc>
          <w:tcPr>
            <w:tcW w:type="dxa" w:w="1440"/>
          </w:tcPr>
          <w:p>
            <w:r>
              <w:t>10,907,771</w:t>
            </w:r>
          </w:p>
        </w:tc>
        <w:tc>
          <w:tcPr>
            <w:tcW w:type="dxa" w:w="1440"/>
          </w:tcPr>
          <w:p>
            <w:r>
              <w:t>19.20%</w:t>
            </w:r>
          </w:p>
        </w:tc>
        <w:tc>
          <w:tcPr>
            <w:tcW w:type="dxa" w:w="1440"/>
          </w:tcPr>
          <w:p>
            <w:r>
              <w:t>[●]</w:t>
            </w:r>
          </w:p>
        </w:tc>
        <w:tc>
          <w:tcPr>
            <w:tcW w:type="dxa" w:w="1440"/>
          </w:tcPr>
          <w:p>
            <w:r>
              <w:t>[●]</w:t>
            </w:r>
          </w:p>
        </w:tc>
      </w:tr>
      <w:tr>
        <w:tc>
          <w:tcPr>
            <w:tcW w:type="dxa" w:w="1440"/>
          </w:tcPr>
          <w:p>
            <w:r>
              <w:t>4.</w:t>
            </w:r>
          </w:p>
        </w:tc>
        <w:tc>
          <w:tcPr>
            <w:tcW w:type="dxa" w:w="1440"/>
          </w:tcPr>
          <w:p>
            <w:r>
              <w:t>James Miller</w:t>
            </w:r>
          </w:p>
        </w:tc>
        <w:tc>
          <w:tcPr>
            <w:tcW w:type="dxa" w:w="1440"/>
          </w:tcPr>
          <w:p>
            <w:r>
              <w:t>10,907,771</w:t>
            </w:r>
          </w:p>
        </w:tc>
        <w:tc>
          <w:tcPr>
            <w:tcW w:type="dxa" w:w="1440"/>
          </w:tcPr>
          <w:p>
            <w:r>
              <w:t>19.20%</w:t>
            </w:r>
          </w:p>
        </w:tc>
        <w:tc>
          <w:tcPr>
            <w:tcW w:type="dxa" w:w="1440"/>
          </w:tcPr>
          <w:p>
            <w:r>
              <w:t>[●]</w:t>
            </w:r>
          </w:p>
        </w:tc>
        <w:tc>
          <w:tcPr>
            <w:tcW w:type="dxa" w:w="1440"/>
          </w:tcPr>
          <w:p>
            <w:r>
              <w:t>[●]</w:t>
            </w:r>
          </w:p>
        </w:tc>
      </w:tr>
      <w:tr>
        <w:tc>
          <w:tcPr>
            <w:tcW w:type="dxa" w:w="1440"/>
          </w:tcPr>
          <w:p>
            <w:r>
              <w:t>5.</w:t>
            </w:r>
          </w:p>
        </w:tc>
        <w:tc>
          <w:tcPr>
            <w:tcW w:type="dxa" w:w="1440"/>
          </w:tcPr>
          <w:p>
            <w:r>
              <w:t>Peter Parker</w:t>
            </w:r>
          </w:p>
        </w:tc>
        <w:tc>
          <w:tcPr>
            <w:tcW w:type="dxa" w:w="1440"/>
          </w:tcPr>
          <w:p>
            <w:r>
              <w:t>100</w:t>
            </w:r>
          </w:p>
        </w:tc>
        <w:tc>
          <w:tcPr>
            <w:tcW w:type="dxa" w:w="1440"/>
          </w:tcPr>
          <w:p>
            <w:r>
              <w:t>0.00**%</w:t>
            </w:r>
          </w:p>
        </w:tc>
        <w:tc>
          <w:tcPr>
            <w:tcW w:type="dxa" w:w="1440"/>
          </w:tcPr>
          <w:p>
            <w:r>
              <w:t>[●]</w:t>
            </w:r>
          </w:p>
        </w:tc>
        <w:tc>
          <w:tcPr>
            <w:tcW w:type="dxa" w:w="1440"/>
          </w:tcPr>
          <w:p>
            <w:r>
              <w:t>[●]</w:t>
            </w:r>
          </w:p>
        </w:tc>
      </w:tr>
      <w:tr>
        <w:tc>
          <w:tcPr>
            <w:tcW w:type="dxa" w:w="1440"/>
          </w:tcPr>
          <w:p>
            <w:r>
              <w:t>6.</w:t>
            </w:r>
          </w:p>
        </w:tc>
        <w:tc>
          <w:tcPr>
            <w:tcW w:type="dxa" w:w="1440"/>
          </w:tcPr>
          <w:p>
            <w:r>
              <w:t>Granite Logistics LLP</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7.</w:t>
            </w:r>
          </w:p>
        </w:tc>
        <w:tc>
          <w:tcPr>
            <w:tcW w:type="dxa" w:w="1440"/>
          </w:tcPr>
          <w:p>
            <w:r>
              <w:t>Falcon Capital Limited</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8.</w:t>
            </w:r>
          </w:p>
        </w:tc>
        <w:tc>
          <w:tcPr>
            <w:tcW w:type="dxa" w:w="1440"/>
          </w:tcPr>
          <w:p>
            <w:r>
              <w:t>Evergreen Textiles Private Limited</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9.</w:t>
            </w:r>
          </w:p>
        </w:tc>
        <w:tc>
          <w:tcPr>
            <w:tcW w:type="dxa" w:w="1440"/>
          </w:tcPr>
          <w:p>
            <w:r>
              <w:t>Delta Fabrication Limited</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10.</w:t>
            </w:r>
          </w:p>
        </w:tc>
        <w:tc>
          <w:tcPr>
            <w:tcW w:type="dxa" w:w="1440"/>
          </w:tcPr>
          <w:p>
            <w:r>
              <w:t>Crestline Holdings LLP</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11.</w:t>
            </w:r>
          </w:p>
        </w:tc>
        <w:tc>
          <w:tcPr>
            <w:tcW w:type="dxa" w:w="1440"/>
          </w:tcPr>
          <w:p>
            <w:r>
              <w:t>Bluewave Industries Pvt. Ltd.</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2880"/>
            <w:gridSpan w:val="2"/>
          </w:tcPr>
          <w:p>
            <w:r>
              <w:t>Sub-total (A)</w:t>
            </w:r>
          </w:p>
        </w:tc>
        <w:tc>
          <w:tcPr>
            <w:tcW w:type="dxa" w:w="1440"/>
          </w:tcPr>
          <w:p>
            <w:r>
              <w:t>55,906,542</w:t>
            </w:r>
          </w:p>
        </w:tc>
        <w:tc>
          <w:tcPr>
            <w:tcW w:type="dxa" w:w="1440"/>
          </w:tcPr>
          <w:p>
            <w:r>
              <w:t>98.40%</w:t>
            </w:r>
          </w:p>
        </w:tc>
        <w:tc>
          <w:tcPr>
            <w:tcW w:type="dxa" w:w="1440"/>
          </w:tcPr>
          <w:p>
            <w:r>
              <w:t>[●]</w:t>
            </w:r>
          </w:p>
        </w:tc>
        <w:tc>
          <w:tcPr>
            <w:tcW w:type="dxa" w:w="1440"/>
          </w:tcPr>
          <w:p>
            <w:r>
              <w:t>[●]</w:t>
            </w:r>
          </w:p>
        </w:tc>
      </w:tr>
      <w:tr>
        <w:tc>
          <w:tcPr>
            <w:tcW w:type="dxa" w:w="5760"/>
            <w:gridSpan w:val="4"/>
          </w:tcPr>
          <w:p>
            <w:r>
              <w:t>Promoter Group</w:t>
            </w:r>
          </w:p>
        </w:tc>
        <w:tc>
          <w:tcPr>
            <w:tcW w:type="dxa" w:w="2880"/>
            <w:gridSpan w:val="2"/>
          </w:tcPr>
          <w:p>
            <w:r/>
          </w:p>
        </w:tc>
      </w:tr>
      <w:tr>
        <w:tc>
          <w:tcPr>
            <w:tcW w:type="dxa" w:w="1440"/>
          </w:tcPr>
          <w:p>
            <w:r>
              <w:t>12.</w:t>
            </w:r>
          </w:p>
        </w:tc>
        <w:tc>
          <w:tcPr>
            <w:tcW w:type="dxa" w:w="1440"/>
          </w:tcPr>
          <w:p>
            <w:r>
              <w:t>Kavita Iyer</w:t>
            </w:r>
          </w:p>
        </w:tc>
        <w:tc>
          <w:tcPr>
            <w:tcW w:type="dxa" w:w="1440"/>
          </w:tcPr>
          <w:p>
            <w:r>
              <w:t>100</w:t>
            </w:r>
          </w:p>
        </w:tc>
        <w:tc>
          <w:tcPr>
            <w:tcW w:type="dxa" w:w="1440"/>
          </w:tcPr>
          <w:p>
            <w:r>
              <w:t>0.00**%</w:t>
            </w:r>
          </w:p>
        </w:tc>
        <w:tc>
          <w:tcPr>
            <w:tcW w:type="dxa" w:w="1440"/>
          </w:tcPr>
          <w:p>
            <w:r>
              <w:t>[●]</w:t>
            </w:r>
          </w:p>
        </w:tc>
        <w:tc>
          <w:tcPr>
            <w:tcW w:type="dxa" w:w="1440"/>
          </w:tcPr>
          <w:p>
            <w:r>
              <w:t>[●]</w:t>
            </w:r>
          </w:p>
        </w:tc>
      </w:tr>
      <w:tr>
        <w:tc>
          <w:tcPr>
            <w:tcW w:type="dxa" w:w="1440"/>
          </w:tcPr>
          <w:p>
            <w:r>
              <w:t>13.</w:t>
            </w:r>
          </w:p>
        </w:tc>
        <w:tc>
          <w:tcPr>
            <w:tcW w:type="dxa" w:w="1440"/>
          </w:tcPr>
          <w:p>
            <w:r>
              <w:t>Daniel Garcia</w:t>
            </w:r>
          </w:p>
        </w:tc>
        <w:tc>
          <w:tcPr>
            <w:tcW w:type="dxa" w:w="1440"/>
          </w:tcPr>
          <w:p>
            <w:r>
              <w:t>100</w:t>
            </w:r>
          </w:p>
        </w:tc>
        <w:tc>
          <w:tcPr>
            <w:tcW w:type="dxa" w:w="1440"/>
          </w:tcPr>
          <w:p>
            <w:r>
              <w:t>0.00**%</w:t>
            </w:r>
          </w:p>
        </w:tc>
        <w:tc>
          <w:tcPr>
            <w:tcW w:type="dxa" w:w="1440"/>
          </w:tcPr>
          <w:p>
            <w:r>
              <w:t>[●]</w:t>
            </w:r>
          </w:p>
        </w:tc>
        <w:tc>
          <w:tcPr>
            <w:tcW w:type="dxa" w:w="1440"/>
          </w:tcPr>
          <w:p>
            <w:r>
              <w:t>[●]</w:t>
            </w:r>
          </w:p>
        </w:tc>
      </w:tr>
      <w:tr>
        <w:tc>
          <w:tcPr>
            <w:tcW w:type="dxa" w:w="2880"/>
            <w:gridSpan w:val="2"/>
          </w:tcPr>
          <w:p>
            <w:r>
              <w:t>Sub-total (B)</w:t>
            </w:r>
          </w:p>
        </w:tc>
        <w:tc>
          <w:tcPr>
            <w:tcW w:type="dxa" w:w="1440"/>
          </w:tcPr>
          <w:p>
            <w:r>
              <w:t>200</w:t>
            </w:r>
          </w:p>
        </w:tc>
        <w:tc>
          <w:tcPr>
            <w:tcW w:type="dxa" w:w="1440"/>
          </w:tcPr>
          <w:p>
            <w:r>
              <w:t>0.00**%</w:t>
            </w:r>
          </w:p>
        </w:tc>
        <w:tc>
          <w:tcPr>
            <w:tcW w:type="dxa" w:w="1440"/>
          </w:tcPr>
          <w:p>
            <w:r>
              <w:t>[●]</w:t>
            </w:r>
          </w:p>
        </w:tc>
        <w:tc>
          <w:tcPr>
            <w:tcW w:type="dxa" w:w="1440"/>
          </w:tcPr>
          <w:p>
            <w:r>
              <w:t>[●]</w:t>
            </w:r>
          </w:p>
        </w:tc>
      </w:tr>
      <w:tr>
        <w:tc>
          <w:tcPr>
            <w:tcW w:type="dxa" w:w="2880"/>
            <w:gridSpan w:val="2"/>
          </w:tcPr>
          <w:p>
            <w:r>
              <w:t>Total (A + B)</w:t>
            </w:r>
          </w:p>
        </w:tc>
        <w:tc>
          <w:tcPr>
            <w:tcW w:type="dxa" w:w="1440"/>
          </w:tcPr>
          <w:p>
            <w:r>
              <w:t>55,906,742</w:t>
            </w:r>
          </w:p>
        </w:tc>
        <w:tc>
          <w:tcPr>
            <w:tcW w:type="dxa" w:w="1440"/>
          </w:tcPr>
          <w:p>
            <w:r>
              <w:t>98.40%</w:t>
            </w:r>
          </w:p>
        </w:tc>
        <w:tc>
          <w:tcPr>
            <w:tcW w:type="dxa" w:w="1440"/>
          </w:tcPr>
          <w:p>
            <w:r>
              <w:t>[●]</w:t>
            </w:r>
          </w:p>
        </w:tc>
        <w:tc>
          <w:tcPr>
            <w:tcW w:type="dxa" w:w="1440"/>
          </w:tcPr>
          <w:p>
            <w:r>
              <w:t>[●]</w:t>
            </w:r>
          </w:p>
        </w:tc>
      </w:tr>
    </w:tbl>
    <w:p>
      <w:pPr>
        <w:pStyle w:val="BodyText"/>
      </w:pPr>
    </w:p>
    <w:p>
      <w:r>
        <w:t>*Also, the Promoter Selling Shareholder.</w:t>
      </w:r>
    </w:p>
    <w:p>
      <w:r>
        <w:t>**The number is negligible and below the rounding off norms adopted by our Company.</w:t>
      </w:r>
    </w:p>
    <w:p>
      <w:r>
        <w:t>^Subject to completion of the Offer and finalisation of the Basis of Allotment.</w:t>
      </w:r>
    </w:p>
    <w:p>
      <w:pPr>
        <w:pStyle w:val="BodyText"/>
      </w:pPr>
    </w:p>
    <w:p>
      <w:r>
        <w:t>For further details, see “Capital Structure” on page 84.</w:t>
      </w:r>
    </w:p>
    <w:p>
      <w:pPr>
        <w:pStyle w:val="Heading3"/>
      </w:pPr>
      <w:r>
        <w:t>Aggregate pre-Offer and post-Offer shareholding of our Promoters, members of our Promoter Group and the additional top 10 Shareholders of our Company</w:t>
      </w:r>
    </w:p>
    <w:p>
      <w:pPr>
        <w:pStyle w:val="BodyText"/>
      </w:pPr>
      <w:r>
        <w:t>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w:t>
      </w:r>
    </w:p>
    <w:p>
      <w:pPr>
        <w:pStyle w:val="BodyText"/>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br/>
              <w:br/>
              <w:br/>
              <w:t>Name</w:t>
            </w:r>
          </w:p>
        </w:tc>
        <w:tc>
          <w:tcPr>
            <w:tcW w:type="dxa" w:w="2468"/>
            <w:gridSpan w:val="2"/>
          </w:tcPr>
          <w:p>
            <w:r>
              <w:t>Pre-Offer</w:t>
            </w:r>
          </w:p>
        </w:tc>
        <w:tc>
          <w:tcPr>
            <w:tcW w:type="dxa" w:w="4936"/>
            <w:gridSpan w:val="4"/>
          </w:tcPr>
          <w:p>
            <w:r>
              <w:t>Post-Offer shareholding as at Allotment^</w:t>
            </w:r>
          </w:p>
        </w:tc>
      </w:tr>
      <w:tr>
        <w:tc>
          <w:tcPr>
            <w:tcW w:type="dxa" w:w="1234"/>
          </w:tcPr>
          <w:p>
            <w:r>
              <w:br/>
              <w:br/>
              <w:br/>
              <w:t>Name</w:t>
            </w:r>
          </w:p>
        </w:tc>
        <w:tc>
          <w:tcPr>
            <w:tcW w:type="dxa" w:w="1234"/>
          </w:tcPr>
          <w:p>
            <w:r>
              <w:t>Number of Equity Shares of face value of</w:t>
              <w:br/>
              <w:t>₹5 each</w:t>
            </w:r>
          </w:p>
        </w:tc>
        <w:tc>
          <w:tcPr>
            <w:tcW w:type="dxa" w:w="1234"/>
          </w:tcPr>
          <w:p>
            <w:r>
              <w:br/>
              <w:t>Percentage of pre-Offer Equity Share capital (%)</w:t>
            </w:r>
          </w:p>
        </w:tc>
        <w:tc>
          <w:tcPr>
            <w:tcW w:type="dxa" w:w="2468"/>
            <w:gridSpan w:val="2"/>
          </w:tcPr>
          <w:p>
            <w:r>
              <w:t>At the lower end of the price band (₹[●])</w:t>
            </w:r>
          </w:p>
        </w:tc>
        <w:tc>
          <w:tcPr>
            <w:tcW w:type="dxa" w:w="2468"/>
            <w:gridSpan w:val="2"/>
          </w:tcPr>
          <w:p>
            <w:r>
              <w:t>At the upper end of the price band (₹[●])</w:t>
            </w:r>
          </w:p>
        </w:tc>
      </w:tr>
      <w:tr>
        <w:tc>
          <w:tcPr>
            <w:tcW w:type="dxa" w:w="1234"/>
          </w:tcPr>
          <w:p>
            <w:r>
              <w:t>Sunita Menon</w:t>
            </w:r>
          </w:p>
        </w:tc>
        <w:tc>
          <w:tcPr>
            <w:tcW w:type="dxa" w:w="1234"/>
          </w:tcPr>
          <w:p>
            <w:r>
              <w:t>Number of Equity Shares of face value of</w:t>
              <w:br/>
              <w:t>₹5 each</w:t>
            </w:r>
          </w:p>
        </w:tc>
        <w:tc>
          <w:tcPr>
            <w:tcW w:type="dxa" w:w="1234"/>
          </w:tcPr>
          <w:p>
            <w:r>
              <w:br/>
              <w:t>Percentage of pre-Offer Equity Share capital (%)</w:t>
            </w:r>
          </w:p>
        </w:tc>
        <w:tc>
          <w:tcPr>
            <w:tcW w:type="dxa" w:w="1234"/>
          </w:tcPr>
          <w:p>
            <w:r>
              <w:t>Number of Equity Shares of</w:t>
              <w:br/>
              <w:t>face value of ₹5 each</w:t>
            </w:r>
          </w:p>
        </w:tc>
        <w:tc>
          <w:tcPr>
            <w:tcW w:type="dxa" w:w="1234"/>
          </w:tcPr>
          <w:p>
            <w:r>
              <w:t>Percentage of post-Offer Equity Share capital (%)</w:t>
            </w:r>
          </w:p>
        </w:tc>
        <w:tc>
          <w:tcPr>
            <w:tcW w:type="dxa" w:w="1234"/>
          </w:tcPr>
          <w:p>
            <w:r>
              <w:t>Number of Equity Shares of</w:t>
              <w:br/>
              <w:t>face value of ₹5 each</w:t>
            </w:r>
          </w:p>
        </w:tc>
        <w:tc>
          <w:tcPr>
            <w:tcW w:type="dxa" w:w="1234"/>
          </w:tcPr>
          <w:p>
            <w:r>
              <w:t>Percentage of post-Offer</w:t>
              <w:br/>
              <w:t>Equity Share capital (%)</w:t>
            </w:r>
          </w:p>
        </w:tc>
      </w:tr>
      <w:tr>
        <w:tc>
          <w:tcPr>
            <w:tcW w:type="dxa" w:w="6170"/>
            <w:gridSpan w:val="5"/>
          </w:tcPr>
          <w:p>
            <w:r>
              <w:t>Promoters</w:t>
            </w:r>
          </w:p>
        </w:tc>
        <w:tc>
          <w:tcPr>
            <w:tcW w:type="dxa" w:w="1234"/>
          </w:tcPr>
          <w:p>
            <w:r/>
          </w:p>
        </w:tc>
        <w:tc>
          <w:tcPr>
            <w:tcW w:type="dxa" w:w="1234"/>
          </w:tcPr>
          <w:p>
            <w:r/>
          </w:p>
        </w:tc>
      </w:tr>
      <w:tr>
        <w:tc>
          <w:tcPr>
            <w:tcW w:type="dxa" w:w="1234"/>
          </w:tcPr>
          <w:p>
            <w:r>
              <w:t>Steven Clark</w:t>
            </w:r>
          </w:p>
        </w:tc>
        <w:tc>
          <w:tcPr>
            <w:tcW w:type="dxa" w:w="1234"/>
          </w:tcPr>
          <w:p>
            <w:r>
              <w:t>26,704,570</w:t>
            </w:r>
          </w:p>
        </w:tc>
        <w:tc>
          <w:tcPr>
            <w:tcW w:type="dxa" w:w="1234"/>
          </w:tcPr>
          <w:p>
            <w:r>
              <w:t>47.00%</w:t>
            </w:r>
          </w:p>
        </w:tc>
        <w:tc>
          <w:tcPr>
            <w:tcW w:type="dxa" w:w="1234"/>
          </w:tcPr>
          <w:p>
            <w:r>
              <w:t>[●]</w:t>
            </w:r>
          </w:p>
        </w:tc>
        <w:tc>
          <w:tcPr>
            <w:tcW w:type="dxa" w:w="1234"/>
          </w:tcPr>
          <w:p>
            <w:r>
              <w:t>[●]</w:t>
            </w:r>
          </w:p>
        </w:tc>
        <w:tc>
          <w:tcPr>
            <w:tcW w:type="dxa" w:w="1234"/>
          </w:tcPr>
          <w:p>
            <w:r>
              <w:t>[●]</w:t>
            </w:r>
          </w:p>
        </w:tc>
        <w:tc>
          <w:tcPr>
            <w:tcW w:type="dxa" w:w="1234"/>
          </w:tcPr>
          <w:p>
            <w:r>
              <w:t>[●]</w:t>
            </w:r>
          </w:p>
        </w:tc>
      </w:tr>
    </w:tbl>
    <w:p>
      <w:pPr>
        <w:pStyle w:val="BodyText"/>
      </w:pP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br/>
              <w:br/>
              <w:br/>
              <w:t>Name</w:t>
            </w:r>
          </w:p>
        </w:tc>
        <w:tc>
          <w:tcPr>
            <w:tcW w:type="dxa" w:w="2468"/>
            <w:gridSpan w:val="2"/>
          </w:tcPr>
          <w:p>
            <w:r>
              <w:t>Pre-Offer</w:t>
            </w:r>
          </w:p>
        </w:tc>
        <w:tc>
          <w:tcPr>
            <w:tcW w:type="dxa" w:w="4936"/>
            <w:gridSpan w:val="4"/>
          </w:tcPr>
          <w:p>
            <w:r>
              <w:t>Post-Offer shareholding as at Allotment^</w:t>
            </w:r>
          </w:p>
        </w:tc>
      </w:tr>
      <w:tr>
        <w:tc>
          <w:tcPr>
            <w:tcW w:type="dxa" w:w="1234"/>
          </w:tcPr>
          <w:p>
            <w:r>
              <w:br/>
              <w:br/>
              <w:br/>
              <w:t>Name</w:t>
            </w:r>
          </w:p>
        </w:tc>
        <w:tc>
          <w:tcPr>
            <w:tcW w:type="dxa" w:w="1234"/>
          </w:tcPr>
          <w:p>
            <w:r>
              <w:t>Number of Equity Shares of face value of</w:t>
              <w:br/>
              <w:t>₹5 each</w:t>
            </w:r>
          </w:p>
        </w:tc>
        <w:tc>
          <w:tcPr>
            <w:tcW w:type="dxa" w:w="1234"/>
          </w:tcPr>
          <w:p>
            <w:r>
              <w:br/>
              <w:t>Percentage of pre-Offer Equity Share capital (%)</w:t>
            </w:r>
          </w:p>
        </w:tc>
        <w:tc>
          <w:tcPr>
            <w:tcW w:type="dxa" w:w="2468"/>
            <w:gridSpan w:val="2"/>
          </w:tcPr>
          <w:p>
            <w:r>
              <w:t>At the lower end of the price band (₹[●])</w:t>
            </w:r>
          </w:p>
        </w:tc>
        <w:tc>
          <w:tcPr>
            <w:tcW w:type="dxa" w:w="2468"/>
            <w:gridSpan w:val="2"/>
          </w:tcPr>
          <w:p>
            <w:r>
              <w:t>At the upper end of the price band (₹[●])</w:t>
            </w:r>
          </w:p>
        </w:tc>
      </w:tr>
      <w:tr>
        <w:tc>
          <w:tcPr>
            <w:tcW w:type="dxa" w:w="1234"/>
          </w:tcPr>
          <w:p>
            <w:r>
              <w:t>Sunita Menon</w:t>
            </w:r>
          </w:p>
        </w:tc>
        <w:tc>
          <w:tcPr>
            <w:tcW w:type="dxa" w:w="1234"/>
          </w:tcPr>
          <w:p>
            <w:r>
              <w:t>Number of Equity Shares of face value of</w:t>
              <w:br/>
              <w:t>₹5 each</w:t>
            </w:r>
          </w:p>
        </w:tc>
        <w:tc>
          <w:tcPr>
            <w:tcW w:type="dxa" w:w="1234"/>
          </w:tcPr>
          <w:p>
            <w:r>
              <w:br/>
              <w:t>Percentage of pre-Offer Equity Share capital (%)</w:t>
            </w:r>
          </w:p>
        </w:tc>
        <w:tc>
          <w:tcPr>
            <w:tcW w:type="dxa" w:w="1234"/>
          </w:tcPr>
          <w:p>
            <w:r>
              <w:t>Number of Equity Shares of face value of ₹5</w:t>
              <w:br/>
              <w:t>each</w:t>
            </w:r>
          </w:p>
        </w:tc>
        <w:tc>
          <w:tcPr>
            <w:tcW w:type="dxa" w:w="1234"/>
          </w:tcPr>
          <w:p>
            <w:r>
              <w:t>Percentage of post-Offer Equity Share capital (%)</w:t>
            </w:r>
          </w:p>
        </w:tc>
        <w:tc>
          <w:tcPr>
            <w:tcW w:type="dxa" w:w="1234"/>
          </w:tcPr>
          <w:p>
            <w:r>
              <w:t>Number of Equity Shares of face value of ₹5</w:t>
              <w:br/>
              <w:t>each</w:t>
            </w:r>
          </w:p>
        </w:tc>
        <w:tc>
          <w:tcPr>
            <w:tcW w:type="dxa" w:w="1234"/>
          </w:tcPr>
          <w:p>
            <w:r>
              <w:t>Percentage of post-Offer Equity Share</w:t>
              <w:br/>
              <w:t>capital (%)</w:t>
            </w:r>
          </w:p>
        </w:tc>
      </w:tr>
      <w:tr>
        <w:tc>
          <w:tcPr>
            <w:tcW w:type="dxa" w:w="1234"/>
          </w:tcPr>
          <w:p>
            <w:r>
              <w:t>Rohit Nair</w:t>
            </w:r>
          </w:p>
        </w:tc>
        <w:tc>
          <w:tcPr>
            <w:tcW w:type="dxa" w:w="1234"/>
          </w:tcPr>
          <w:p>
            <w:r>
              <w:t>7,386,270</w:t>
            </w:r>
          </w:p>
        </w:tc>
        <w:tc>
          <w:tcPr>
            <w:tcW w:type="dxa" w:w="1234"/>
          </w:tcPr>
          <w:p>
            <w:r>
              <w:t>13.00%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Laura Martinez</w:t>
            </w:r>
          </w:p>
        </w:tc>
        <w:tc>
          <w:tcPr>
            <w:tcW w:type="dxa" w:w="1234"/>
          </w:tcPr>
          <w:p>
            <w:r>
              <w:t>10,907,771</w:t>
            </w:r>
          </w:p>
        </w:tc>
        <w:tc>
          <w:tcPr>
            <w:tcW w:type="dxa" w:w="1234"/>
          </w:tcPr>
          <w:p>
            <w:r>
              <w:t>19.20%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Arjun Reddy</w:t>
            </w:r>
          </w:p>
        </w:tc>
        <w:tc>
          <w:tcPr>
            <w:tcW w:type="dxa" w:w="1234"/>
          </w:tcPr>
          <w:p>
            <w:r>
              <w:t>10,907,771</w:t>
            </w:r>
          </w:p>
        </w:tc>
        <w:tc>
          <w:tcPr>
            <w:tcW w:type="dxa" w:w="1234"/>
          </w:tcPr>
          <w:p>
            <w:r>
              <w:t>19.20%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Peter Parker</w:t>
            </w:r>
          </w:p>
        </w:tc>
        <w:tc>
          <w:tcPr>
            <w:tcW w:type="dxa" w:w="1234"/>
          </w:tcPr>
          <w:p>
            <w:r>
              <w:t>100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Granite Logistics LLP</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Summit Realty LLP</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Trident Power Limited</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Delta Fabrication Limited</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Crestline Holdings LLP</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Bluewave Industries Pvt. Ltd.</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Karen Lewis</w:t>
            </w:r>
          </w:p>
        </w:tc>
        <w:tc>
          <w:tcPr>
            <w:tcW w:type="dxa" w:w="1234"/>
          </w:tcPr>
          <w:p>
            <w:r>
              <w:t>55,906,542</w:t>
            </w:r>
          </w:p>
        </w:tc>
        <w:tc>
          <w:tcPr>
            <w:tcW w:type="dxa" w:w="1234"/>
          </w:tcPr>
          <w:p>
            <w:r>
              <w:t>98.40%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6170"/>
            <w:gridSpan w:val="5"/>
          </w:tcPr>
          <w:p>
            <w:r>
              <w:t>Promoter Group</w:t>
            </w:r>
          </w:p>
        </w:tc>
        <w:tc>
          <w:tcPr>
            <w:tcW w:type="dxa" w:w="1234"/>
          </w:tcPr>
          <w:p>
            <w:r/>
          </w:p>
        </w:tc>
        <w:tc>
          <w:tcPr>
            <w:tcW w:type="dxa" w:w="1234"/>
          </w:tcPr>
          <w:p>
            <w:r/>
          </w:p>
        </w:tc>
      </w:tr>
      <w:tr>
        <w:tc>
          <w:tcPr>
            <w:tcW w:type="dxa" w:w="1234"/>
          </w:tcPr>
          <w:p>
            <w:r>
              <w:t>Vikram Joshi</w:t>
            </w:r>
          </w:p>
        </w:tc>
        <w:tc>
          <w:tcPr>
            <w:tcW w:type="dxa" w:w="1234"/>
          </w:tcPr>
          <w:p>
            <w:r>
              <w:t>100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Daniel Garcia</w:t>
            </w:r>
          </w:p>
        </w:tc>
        <w:tc>
          <w:tcPr>
            <w:tcW w:type="dxa" w:w="1234"/>
          </w:tcPr>
          <w:p>
            <w:r>
              <w:t>100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Nancy Walker</w:t>
            </w:r>
          </w:p>
        </w:tc>
        <w:tc>
          <w:tcPr>
            <w:tcW w:type="dxa" w:w="1234"/>
          </w:tcPr>
          <w:p>
            <w:r>
              <w:t>200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8638"/>
            <w:gridSpan w:val="7"/>
          </w:tcPr>
          <w:p>
            <w:r>
              <w:t>Additional top 10 Shareholders</w:t>
            </w:r>
          </w:p>
        </w:tc>
      </w:tr>
      <w:tr>
        <w:tc>
          <w:tcPr>
            <w:tcW w:type="dxa" w:w="1234"/>
          </w:tcPr>
          <w:p>
            <w:r>
              <w:t>Alpha Ventures Limited</w:t>
            </w:r>
          </w:p>
        </w:tc>
        <w:tc>
          <w:tcPr>
            <w:tcW w:type="dxa" w:w="1234"/>
          </w:tcPr>
          <w:p>
            <w:r>
              <w:t>8,51,563</w:t>
            </w:r>
          </w:p>
        </w:tc>
        <w:tc>
          <w:tcPr>
            <w:tcW w:type="dxa" w:w="1234"/>
          </w:tcPr>
          <w:p>
            <w:r>
              <w:t>1.50%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Deepa Pillai</w:t>
            </w:r>
          </w:p>
        </w:tc>
        <w:tc>
          <w:tcPr>
            <w:tcW w:type="dxa" w:w="1234"/>
          </w:tcPr>
          <w:p>
            <w:r>
              <w:t>39,062</w:t>
            </w:r>
          </w:p>
        </w:tc>
        <w:tc>
          <w:tcPr>
            <w:tcW w:type="dxa" w:w="1234"/>
          </w:tcPr>
          <w:p>
            <w:r>
              <w:t>0.07%</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Kevin Hall</w:t>
            </w:r>
          </w:p>
        </w:tc>
        <w:tc>
          <w:tcPr>
            <w:tcW w:type="dxa" w:w="1234"/>
          </w:tcPr>
          <w:p>
            <w:r>
              <w:t>13,021</w:t>
            </w:r>
          </w:p>
        </w:tc>
        <w:tc>
          <w:tcPr>
            <w:tcW w:type="dxa" w:w="1234"/>
          </w:tcPr>
          <w:p>
            <w:r>
              <w:t>0.02%</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Meera Bhatt</w:t>
            </w:r>
          </w:p>
        </w:tc>
        <w:tc>
          <w:tcPr>
            <w:tcW w:type="dxa" w:w="1234"/>
          </w:tcPr>
          <w:p>
            <w:r>
              <w:t>2,604</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Brian Allen</w:t>
            </w:r>
          </w:p>
        </w:tc>
        <w:tc>
          <w:tcPr>
            <w:tcW w:type="dxa" w:w="1234"/>
          </w:tcPr>
          <w:p>
            <w:r>
              <w:t>2,604</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Ritu Kapoor</w:t>
            </w:r>
          </w:p>
        </w:tc>
        <w:tc>
          <w:tcPr>
            <w:tcW w:type="dxa" w:w="1234"/>
          </w:tcPr>
          <w:p>
            <w:r>
              <w:t>2,604</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Sanjay Desai</w:t>
            </w:r>
          </w:p>
        </w:tc>
        <w:tc>
          <w:tcPr>
            <w:tcW w:type="dxa" w:w="1234"/>
          </w:tcPr>
          <w:p>
            <w:r>
              <w:t>911,458</w:t>
            </w:r>
          </w:p>
        </w:tc>
        <w:tc>
          <w:tcPr>
            <w:tcW w:type="dxa" w:w="1234"/>
          </w:tcPr>
          <w:p>
            <w:r>
              <w:t>1.60%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Alice Young</w:t>
            </w:r>
          </w:p>
        </w:tc>
        <w:tc>
          <w:tcPr>
            <w:tcW w:type="dxa" w:w="1234"/>
          </w:tcPr>
          <w:p>
            <w:r>
              <w:t>5,68,18,200</w:t>
            </w:r>
          </w:p>
        </w:tc>
        <w:tc>
          <w:tcPr>
            <w:tcW w:type="dxa" w:w="1234"/>
          </w:tcPr>
          <w:p>
            <w:r>
              <w:t>100.00%</w:t>
            </w:r>
          </w:p>
        </w:tc>
        <w:tc>
          <w:tcPr>
            <w:tcW w:type="dxa" w:w="1234"/>
          </w:tcPr>
          <w:p>
            <w:r>
              <w:t>[●]</w:t>
            </w:r>
          </w:p>
        </w:tc>
        <w:tc>
          <w:tcPr>
            <w:tcW w:type="dxa" w:w="1234"/>
          </w:tcPr>
          <w:p>
            <w:r>
              <w:t>[●]</w:t>
            </w:r>
          </w:p>
        </w:tc>
        <w:tc>
          <w:tcPr>
            <w:tcW w:type="dxa" w:w="1234"/>
          </w:tcPr>
          <w:p>
            <w:r>
              <w:t>[●]</w:t>
            </w:r>
          </w:p>
        </w:tc>
        <w:tc>
          <w:tcPr>
            <w:tcW w:type="dxa" w:w="1234"/>
          </w:tcPr>
          <w:p>
            <w:r>
              <w:t>[●]</w:t>
            </w:r>
          </w:p>
        </w:tc>
      </w:tr>
    </w:tbl>
    <w:p/>
    <w:p>
      <w:r>
        <w:t>^Subject to completion of the Offer and finalisation of the Basis of Allotment.</w:t>
      </w:r>
    </w:p>
    <w:p>
      <w:r>
        <w:t>** The number is negligible and below the rounding off norms adopted by our Company.</w:t>
      </w:r>
    </w:p>
    <w:p>
      <w:r>
        <w:t>*Also, the Promoter Selling Shareholder</w:t>
      </w:r>
    </w:p>
    <w:p>
      <w:pPr>
        <w:pStyle w:val="BodyText"/>
      </w:pPr>
    </w:p>
    <w:p>
      <w:r>
        <w:t>For further details, see “Capital Structure” on page 84.</w:t>
      </w:r>
    </w:p>
    <w:p>
      <w:pPr>
        <w:pStyle w:val="Heading3"/>
      </w:pPr>
      <w:r>
        <w:t>Summary of selected financial information</w:t>
      </w:r>
    </w:p>
    <w:p>
      <w:pPr>
        <w:pStyle w:val="BodyText"/>
      </w:pPr>
      <w:r>
        <w:t>The details of certain financial information as at and for the three-month period ended June 30, 2025 and Fiscals 2025, 2024 and 2023, as derived from the Restated Financial Statements are set forth below:</w:t>
      </w:r>
    </w:p>
    <w:p>
      <w:r>
        <w:t>(₹ in million, except per share data)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three-month period ended June 30, 2025</w:t>
            </w:r>
          </w:p>
        </w:tc>
        <w:tc>
          <w:tcPr>
            <w:tcW w:type="dxa" w:w="5184"/>
            <w:gridSpan w:val="3"/>
          </w:tcPr>
          <w:p>
            <w:r>
              <w:t>As at and for</w:t>
            </w:r>
          </w:p>
        </w:tc>
      </w:tr>
      <w:tr>
        <w:tc>
          <w:tcPr>
            <w:tcW w:type="dxa" w:w="1728"/>
          </w:tcPr>
          <w:p>
            <w:r>
              <w:t>Particulars</w:t>
            </w:r>
          </w:p>
        </w:tc>
        <w:tc>
          <w:tcPr>
            <w:tcW w:type="dxa" w:w="1728"/>
          </w:tcPr>
          <w:p>
            <w:r>
              <w:t>As at and for the 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Equity share capital</w:t>
            </w:r>
          </w:p>
        </w:tc>
        <w:tc>
          <w:tcPr>
            <w:tcW w:type="dxa" w:w="1728"/>
          </w:tcPr>
          <w:p>
            <w:r>
              <w:t>284.09</w:t>
            </w:r>
          </w:p>
        </w:tc>
        <w:tc>
          <w:tcPr>
            <w:tcW w:type="dxa" w:w="1728"/>
          </w:tcPr>
          <w:p>
            <w:r>
              <w:t>284.09</w:t>
            </w:r>
          </w:p>
        </w:tc>
        <w:tc>
          <w:tcPr>
            <w:tcW w:type="dxa" w:w="1728"/>
          </w:tcPr>
          <w:p>
            <w:r>
              <w:t>56.82</w:t>
            </w:r>
          </w:p>
        </w:tc>
        <w:tc>
          <w:tcPr>
            <w:tcW w:type="dxa" w:w="1728"/>
          </w:tcPr>
          <w:p>
            <w:r>
              <w:t>56.82</w:t>
            </w:r>
          </w:p>
        </w:tc>
      </w:tr>
      <w:tr>
        <w:tc>
          <w:tcPr>
            <w:tcW w:type="dxa" w:w="1728"/>
          </w:tcPr>
          <w:p>
            <w:r>
              <w:t>Total equity</w:t>
            </w:r>
          </w:p>
        </w:tc>
        <w:tc>
          <w:tcPr>
            <w:tcW w:type="dxa" w:w="1728"/>
          </w:tcPr>
          <w:p>
            <w:r>
              <w:t>3,214.74</w:t>
            </w:r>
          </w:p>
        </w:tc>
        <w:tc>
          <w:tcPr>
            <w:tcW w:type="dxa" w:w="1728"/>
          </w:tcPr>
          <w:p>
            <w:r>
              <w:t>2,985.46</w:t>
            </w:r>
          </w:p>
        </w:tc>
        <w:tc>
          <w:tcPr>
            <w:tcW w:type="dxa" w:w="1728"/>
          </w:tcPr>
          <w:p>
            <w:r>
              <w:t>2,309.46</w:t>
            </w:r>
          </w:p>
        </w:tc>
        <w:tc>
          <w:tcPr>
            <w:tcW w:type="dxa" w:w="1728"/>
          </w:tcPr>
          <w:p>
            <w:r>
              <w:t>1,936.55</w:t>
            </w:r>
          </w:p>
        </w:tc>
      </w:tr>
      <w:tr>
        <w:tc>
          <w:tcPr>
            <w:tcW w:type="dxa" w:w="1728"/>
          </w:tcPr>
          <w:p>
            <w:r>
              <w:t>Net worth(1)</w:t>
            </w:r>
          </w:p>
        </w:tc>
        <w:tc>
          <w:tcPr>
            <w:tcW w:type="dxa" w:w="1728"/>
          </w:tcPr>
          <w:p>
            <w:r>
              <w:t>3,214.74</w:t>
            </w:r>
          </w:p>
        </w:tc>
        <w:tc>
          <w:tcPr>
            <w:tcW w:type="dxa" w:w="1728"/>
          </w:tcPr>
          <w:p>
            <w:r>
              <w:t>2,985.46</w:t>
            </w:r>
          </w:p>
        </w:tc>
        <w:tc>
          <w:tcPr>
            <w:tcW w:type="dxa" w:w="1728"/>
          </w:tcPr>
          <w:p>
            <w:r>
              <w:t>2,309.46</w:t>
            </w:r>
          </w:p>
        </w:tc>
        <w:tc>
          <w:tcPr>
            <w:tcW w:type="dxa" w:w="1728"/>
          </w:tcPr>
          <w:p>
            <w:r>
              <w:t>1,936.55</w:t>
            </w:r>
          </w:p>
        </w:tc>
      </w:tr>
      <w:tr>
        <w:tc>
          <w:tcPr>
            <w:tcW w:type="dxa" w:w="1728"/>
          </w:tcPr>
          <w:p>
            <w:r>
              <w:t>Return on Net worth</w:t>
            </w:r>
          </w:p>
        </w:tc>
        <w:tc>
          <w:tcPr>
            <w:tcW w:type="dxa" w:w="1728"/>
          </w:tcPr>
          <w:p>
            <w:r>
              <w:t>7.06%</w:t>
            </w:r>
          </w:p>
        </w:tc>
        <w:tc>
          <w:tcPr>
            <w:tcW w:type="dxa" w:w="1728"/>
          </w:tcPr>
          <w:p>
            <w:r>
              <w:t>22.77%</w:t>
            </w:r>
          </w:p>
        </w:tc>
        <w:tc>
          <w:tcPr>
            <w:tcW w:type="dxa" w:w="1728"/>
          </w:tcPr>
          <w:p>
            <w:r>
              <w:t>16.17%</w:t>
            </w:r>
          </w:p>
        </w:tc>
        <w:tc>
          <w:tcPr>
            <w:tcW w:type="dxa" w:w="1728"/>
          </w:tcPr>
          <w:p>
            <w:r>
              <w:t>13.74%</w:t>
            </w:r>
          </w:p>
        </w:tc>
      </w:tr>
      <w:tr>
        <w:tc>
          <w:tcPr>
            <w:tcW w:type="dxa" w:w="1728"/>
          </w:tcPr>
          <w:p>
            <w:r>
              <w:t>Revenue from operations</w:t>
            </w:r>
          </w:p>
        </w:tc>
        <w:tc>
          <w:tcPr>
            <w:tcW w:type="dxa" w:w="1728"/>
          </w:tcPr>
          <w:p>
            <w:r>
              <w:t>5,587.12</w:t>
            </w:r>
          </w:p>
        </w:tc>
        <w:tc>
          <w:tcPr>
            <w:tcW w:type="dxa" w:w="1728"/>
          </w:tcPr>
          <w:p>
            <w:r>
              <w:t>19,282.93</w:t>
            </w:r>
          </w:p>
        </w:tc>
        <w:tc>
          <w:tcPr>
            <w:tcW w:type="dxa" w:w="1728"/>
          </w:tcPr>
          <w:p>
            <w:r>
              <w:t>13,828.15</w:t>
            </w:r>
          </w:p>
        </w:tc>
        <w:tc>
          <w:tcPr>
            <w:tcW w:type="dxa" w:w="1728"/>
          </w:tcPr>
          <w:p>
            <w:r>
              <w:t>10,494.60</w:t>
            </w:r>
          </w:p>
        </w:tc>
      </w:tr>
      <w:tr>
        <w:tc>
          <w:tcPr>
            <w:tcW w:type="dxa" w:w="1728"/>
          </w:tcPr>
          <w:p>
            <w:r>
              <w:t>Restated profit for the year</w:t>
            </w:r>
          </w:p>
        </w:tc>
        <w:tc>
          <w:tcPr>
            <w:tcW w:type="dxa" w:w="1728"/>
          </w:tcPr>
          <w:p>
            <w:r>
              <w:t>226.81</w:t>
            </w:r>
          </w:p>
        </w:tc>
        <w:tc>
          <w:tcPr>
            <w:tcW w:type="dxa" w:w="1728"/>
          </w:tcPr>
          <w:p>
            <w:r>
              <w:t>679.88</w:t>
            </w:r>
          </w:p>
        </w:tc>
        <w:tc>
          <w:tcPr>
            <w:tcW w:type="dxa" w:w="1728"/>
          </w:tcPr>
          <w:p>
            <w:r>
              <w:t>373.50</w:t>
            </w:r>
          </w:p>
        </w:tc>
        <w:tc>
          <w:tcPr>
            <w:tcW w:type="dxa" w:w="1728"/>
          </w:tcPr>
          <w:p>
            <w:r>
              <w:t>266.13</w:t>
            </w:r>
          </w:p>
        </w:tc>
      </w:tr>
      <w:tr>
        <w:tc>
          <w:tcPr>
            <w:tcW w:type="dxa" w:w="1728"/>
          </w:tcPr>
          <w:p>
            <w:r>
              <w:t>Earnings per Equity Share (of face value of ₹5 each) *</w:t>
            </w:r>
          </w:p>
        </w:tc>
        <w:tc>
          <w:tcPr>
            <w:tcW w:type="dxa" w:w="1728"/>
          </w:tcPr>
          <w:p>
            <w:r/>
          </w:p>
        </w:tc>
        <w:tc>
          <w:tcPr>
            <w:tcW w:type="dxa" w:w="1728"/>
          </w:tcPr>
          <w:p>
            <w:r/>
          </w:p>
        </w:tc>
        <w:tc>
          <w:tcPr>
            <w:tcW w:type="dxa" w:w="1728"/>
          </w:tcPr>
          <w:p>
            <w:r/>
          </w:p>
        </w:tc>
        <w:tc>
          <w:tcPr>
            <w:tcW w:type="dxa" w:w="1728"/>
          </w:tcPr>
          <w:p>
            <w:r/>
          </w:p>
        </w:tc>
      </w:tr>
      <w:tr>
        <w:tc>
          <w:tcPr>
            <w:tcW w:type="dxa" w:w="1728"/>
          </w:tcPr>
          <w:p>
            <w:r>
              <w:t>- Basic(2)(4)</w:t>
            </w:r>
          </w:p>
        </w:tc>
        <w:tc>
          <w:tcPr>
            <w:tcW w:type="dxa" w:w="1728"/>
          </w:tcPr>
          <w:p>
            <w:r>
              <w:t>3.99</w:t>
            </w:r>
          </w:p>
        </w:tc>
        <w:tc>
          <w:tcPr>
            <w:tcW w:type="dxa" w:w="1728"/>
          </w:tcPr>
          <w:p>
            <w:r>
              <w:t>11.97</w:t>
            </w:r>
          </w:p>
        </w:tc>
        <w:tc>
          <w:tcPr>
            <w:tcW w:type="dxa" w:w="1728"/>
          </w:tcPr>
          <w:p>
            <w:r>
              <w:t>6.57</w:t>
            </w:r>
          </w:p>
        </w:tc>
        <w:tc>
          <w:tcPr>
            <w:tcW w:type="dxa" w:w="1728"/>
          </w:tcPr>
          <w:p>
            <w:r>
              <w:t>4.68</w:t>
            </w:r>
          </w:p>
        </w:tc>
      </w:tr>
      <w:tr>
        <w:tc>
          <w:tcPr>
            <w:tcW w:type="dxa" w:w="1728"/>
          </w:tcPr>
          <w:p>
            <w:r>
              <w:t>- Diluted(3)(4)</w:t>
            </w:r>
          </w:p>
        </w:tc>
        <w:tc>
          <w:tcPr>
            <w:tcW w:type="dxa" w:w="1728"/>
          </w:tcPr>
          <w:p>
            <w:r>
              <w:t>3.99</w:t>
            </w:r>
          </w:p>
        </w:tc>
        <w:tc>
          <w:tcPr>
            <w:tcW w:type="dxa" w:w="1728"/>
          </w:tcPr>
          <w:p>
            <w:r>
              <w:t>11.97</w:t>
            </w:r>
          </w:p>
        </w:tc>
        <w:tc>
          <w:tcPr>
            <w:tcW w:type="dxa" w:w="1728"/>
          </w:tcPr>
          <w:p>
            <w:r>
              <w:t>6.57</w:t>
            </w:r>
          </w:p>
        </w:tc>
        <w:tc>
          <w:tcPr>
            <w:tcW w:type="dxa" w:w="1728"/>
          </w:tcPr>
          <w:p>
            <w:r>
              <w:t>4.68</w:t>
            </w:r>
          </w:p>
        </w:tc>
      </w:tr>
    </w:tbl>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three-month period ended June 30, 2025</w:t>
            </w:r>
          </w:p>
        </w:tc>
        <w:tc>
          <w:tcPr>
            <w:tcW w:type="dxa" w:w="5184"/>
            <w:gridSpan w:val="3"/>
          </w:tcPr>
          <w:p>
            <w:r>
              <w:t>As at and for</w:t>
            </w:r>
          </w:p>
        </w:tc>
      </w:tr>
      <w:tr>
        <w:tc>
          <w:tcPr>
            <w:tcW w:type="dxa" w:w="1728"/>
          </w:tcPr>
          <w:p>
            <w:r>
              <w:t>Particulars</w:t>
            </w:r>
          </w:p>
        </w:tc>
        <w:tc>
          <w:tcPr>
            <w:tcW w:type="dxa" w:w="1728"/>
          </w:tcPr>
          <w:p>
            <w:r>
              <w:t>As at and for the 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Net Asset Value per Equity Share(5)</w:t>
            </w:r>
          </w:p>
        </w:tc>
        <w:tc>
          <w:tcPr>
            <w:tcW w:type="dxa" w:w="1728"/>
          </w:tcPr>
          <w:p>
            <w:r>
              <w:t>56.58</w:t>
            </w:r>
          </w:p>
        </w:tc>
        <w:tc>
          <w:tcPr>
            <w:tcW w:type="dxa" w:w="1728"/>
          </w:tcPr>
          <w:p>
            <w:r>
              <w:t>52.54</w:t>
            </w:r>
          </w:p>
        </w:tc>
        <w:tc>
          <w:tcPr>
            <w:tcW w:type="dxa" w:w="1728"/>
          </w:tcPr>
          <w:p>
            <w:r>
              <w:t>40.65</w:t>
            </w:r>
          </w:p>
        </w:tc>
        <w:tc>
          <w:tcPr>
            <w:tcW w:type="dxa" w:w="1728"/>
          </w:tcPr>
          <w:p>
            <w:r>
              <w:t>34.08</w:t>
            </w:r>
          </w:p>
        </w:tc>
      </w:tr>
      <w:tr>
        <w:tc>
          <w:tcPr>
            <w:tcW w:type="dxa" w:w="1728"/>
          </w:tcPr>
          <w:p>
            <w:r>
              <w:t>Total borrowings(6)</w:t>
            </w:r>
          </w:p>
        </w:tc>
        <w:tc>
          <w:tcPr>
            <w:tcW w:type="dxa" w:w="1728"/>
          </w:tcPr>
          <w:p>
            <w:r>
              <w:t>3,793.94</w:t>
            </w:r>
          </w:p>
        </w:tc>
        <w:tc>
          <w:tcPr>
            <w:tcW w:type="dxa" w:w="1728"/>
          </w:tcPr>
          <w:p>
            <w:r>
              <w:t>3,600.49</w:t>
            </w:r>
          </w:p>
        </w:tc>
        <w:tc>
          <w:tcPr>
            <w:tcW w:type="dxa" w:w="1728"/>
          </w:tcPr>
          <w:p>
            <w:r>
              <w:t>2,068.08</w:t>
            </w:r>
          </w:p>
        </w:tc>
        <w:tc>
          <w:tcPr>
            <w:tcW w:type="dxa" w:w="1728"/>
          </w:tcPr>
          <w:p>
            <w:r>
              <w:t>1,203.54</w:t>
            </w:r>
          </w:p>
        </w:tc>
      </w:tr>
    </w:tbl>
    <w:p/>
    <w:p>
      <w:r>
        <w:t>*Not annualised for period ended June 30, 2025. Notes:</w:t>
      </w:r>
    </w:p>
    <w:p>
      <w:pPr>
        <w:pStyle w:val="ListParagraph"/>
      </w:pPr>
      <w: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p>
    <w:p>
      <w:pPr>
        <w:pStyle w:val="ListParagraph"/>
      </w:pPr>
      <w:r>
        <w:t>Earnings per Equity Share (Basic) = restated profit attributable to the equity holders / weighted average number of equity shares.</w:t>
      </w:r>
    </w:p>
    <w:p>
      <w:pPr>
        <w:pStyle w:val="ListParagraph"/>
      </w:pPr>
      <w:r>
        <w:t>Earnings per Equity Share (Diluted) = restated profit attributable to the equity holders / weighted average number of equity shares adjusted for the effects of dilution.</w:t>
      </w:r>
    </w:p>
    <w:p>
      <w:pPr>
        <w:pStyle w:val="ListParagraph"/>
      </w:pPr>
      <w:r>
        <w:t>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w:t>
      </w:r>
    </w:p>
    <w:p>
      <w:pPr>
        <w:pStyle w:val="ListParagraph"/>
      </w:pPr>
      <w:r>
        <w:t>Net Asset Value per Equity share is calculated as Equity attributable to owners of the Company / Net Worth divided by Weighted average number of shares outstanding during the year as adjusted for Split of Equity Shares and Bonus Issue.</w:t>
      </w:r>
    </w:p>
    <w:p>
      <w:pPr>
        <w:pStyle w:val="ListParagraph"/>
      </w:pPr>
      <w:r>
        <w:t>Total borrowings are computed as current borrowings plus non-current borrowings.</w:t>
      </w:r>
    </w:p>
    <w:p>
      <w:pPr>
        <w:pStyle w:val="BodyText"/>
      </w:pPr>
    </w:p>
    <w:p>
      <w:r>
        <w:t>For further details, see “Restated Financial Statements” on page 280.</w:t>
      </w:r>
    </w:p>
    <w:p>
      <w:pPr>
        <w:pStyle w:val="Heading3"/>
      </w:pPr>
      <w:r>
        <w:t>Qualifications of the Statutory Auditors which have not been given effect to in the Restated Financial Statements</w:t>
      </w:r>
    </w:p>
    <w:p>
      <w:pPr>
        <w:pStyle w:val="BodyText"/>
      </w:pPr>
      <w:r>
        <w:t>There are no qualifications included by the Statutory Auditors in their audit reports and hence no effect is required to be given in the Restated Financial Statements.</w:t>
      </w:r>
    </w:p>
    <w:p>
      <w:pPr>
        <w:pStyle w:val="Heading3"/>
      </w:pPr>
      <w:r>
        <w:t>Summary of outstanding litigations</w:t>
      </w:r>
    </w:p>
    <w:p>
      <w:pPr>
        <w:pStyle w:val="BodyText"/>
      </w:pPr>
      <w:r>
        <w:t>A summary of outstanding litigation proceedings involving our Company, our Directors, our Promoters, our KMPs and Senior Management in accordance with the SEBI ICDR Regulations and the Materiality Policy as on the date of this Red Herring Prospectus, is provided below:</w:t>
      </w:r>
    </w:p>
    <w:p>
      <w:pPr>
        <w:pStyle w:val="BodyText"/>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entity</w:t>
            </w:r>
          </w:p>
        </w:tc>
        <w:tc>
          <w:tcPr>
            <w:tcW w:type="dxa" w:w="1234"/>
          </w:tcPr>
          <w:p>
            <w:r>
              <w:t>Criminal proceedings</w:t>
            </w:r>
          </w:p>
        </w:tc>
        <w:tc>
          <w:tcPr>
            <w:tcW w:type="dxa" w:w="1234"/>
          </w:tcPr>
          <w:p>
            <w:r>
              <w:t>Tax proceedings</w:t>
            </w:r>
          </w:p>
        </w:tc>
        <w:tc>
          <w:tcPr>
            <w:tcW w:type="dxa" w:w="1234"/>
          </w:tcPr>
          <w:p>
            <w:r>
              <w:t>Statutory or regulatory proceedings</w:t>
            </w:r>
          </w:p>
        </w:tc>
        <w:tc>
          <w:tcPr>
            <w:tcW w:type="dxa" w:w="1234"/>
          </w:tcPr>
          <w:p>
            <w:r>
              <w:t>Disciplinary actions by the SEBI or Stock Exchanges</w:t>
              <w:br/>
              <w:t>against our Promoters</w:t>
            </w:r>
          </w:p>
        </w:tc>
        <w:tc>
          <w:tcPr>
            <w:tcW w:type="dxa" w:w="1234"/>
          </w:tcPr>
          <w:p>
            <w:r>
              <w:t>Material civil litigations#</w:t>
            </w:r>
          </w:p>
        </w:tc>
        <w:tc>
          <w:tcPr>
            <w:tcW w:type="dxa" w:w="1234"/>
          </w:tcPr>
          <w:p>
            <w:r>
              <w:t>Aggregate amount involved* (₹ in million)</w:t>
            </w:r>
          </w:p>
        </w:tc>
      </w:tr>
      <w:tr>
        <w:tc>
          <w:tcPr>
            <w:tcW w:type="dxa" w:w="8638"/>
            <w:gridSpan w:val="7"/>
          </w:tcPr>
          <w:p>
            <w:r>
              <w:t>Company</w:t>
            </w:r>
          </w:p>
        </w:tc>
      </w:tr>
      <w:tr>
        <w:tc>
          <w:tcPr>
            <w:tcW w:type="dxa" w:w="1234"/>
          </w:tcPr>
          <w:p>
            <w:r>
              <w:t>Bluewave Industries Pvt. Ltd.</w:t>
            </w:r>
          </w:p>
        </w:tc>
        <w:tc>
          <w:tcPr>
            <w:tcW w:type="dxa" w:w="1234"/>
          </w:tcPr>
          <w:p>
            <w:r>
              <w:t>2</w:t>
            </w:r>
          </w:p>
        </w:tc>
        <w:tc>
          <w:tcPr>
            <w:tcW w:type="dxa" w:w="1234"/>
          </w:tcPr>
          <w:p>
            <w:r>
              <w:t>0</w:t>
            </w:r>
          </w:p>
        </w:tc>
        <w:tc>
          <w:tcPr>
            <w:tcW w:type="dxa" w:w="1234"/>
          </w:tcPr>
          <w:p>
            <w:r>
              <w:t>N.A.</w:t>
            </w:r>
          </w:p>
        </w:tc>
        <w:tc>
          <w:tcPr>
            <w:tcW w:type="dxa" w:w="1234"/>
          </w:tcPr>
          <w:p>
            <w:r>
              <w:t>N.A.</w:t>
            </w:r>
          </w:p>
        </w:tc>
        <w:tc>
          <w:tcPr>
            <w:tcW w:type="dxa" w:w="1234"/>
          </w:tcPr>
          <w:p>
            <w:r>
              <w:t>0</w:t>
            </w:r>
          </w:p>
        </w:tc>
        <w:tc>
          <w:tcPr>
            <w:tcW w:type="dxa" w:w="1234"/>
          </w:tcPr>
          <w:p>
            <w:r>
              <w:t>11.54</w:t>
            </w:r>
          </w:p>
        </w:tc>
      </w:tr>
      <w:tr>
        <w:tc>
          <w:tcPr>
            <w:tcW w:type="dxa" w:w="1234"/>
          </w:tcPr>
          <w:p>
            <w:r>
              <w:t>Crestline Holdings LLP</w:t>
            </w:r>
          </w:p>
        </w:tc>
        <w:tc>
          <w:tcPr>
            <w:tcW w:type="dxa" w:w="1234"/>
          </w:tcPr>
          <w:p>
            <w:r>
              <w:t>0</w:t>
            </w:r>
          </w:p>
        </w:tc>
        <w:tc>
          <w:tcPr>
            <w:tcW w:type="dxa" w:w="1234"/>
          </w:tcPr>
          <w:p>
            <w:r>
              <w:t>0</w:t>
            </w:r>
          </w:p>
        </w:tc>
        <w:tc>
          <w:tcPr>
            <w:tcW w:type="dxa" w:w="1234"/>
          </w:tcPr>
          <w:p>
            <w:r>
              <w:t>0</w:t>
            </w:r>
          </w:p>
        </w:tc>
        <w:tc>
          <w:tcPr>
            <w:tcW w:type="dxa" w:w="1234"/>
          </w:tcPr>
          <w:p>
            <w:r>
              <w:t>N.A.</w:t>
            </w:r>
          </w:p>
        </w:tc>
        <w:tc>
          <w:tcPr>
            <w:tcW w:type="dxa" w:w="1234"/>
          </w:tcPr>
          <w:p>
            <w:r>
              <w:t>0</w:t>
            </w:r>
          </w:p>
        </w:tc>
        <w:tc>
          <w:tcPr>
            <w:tcW w:type="dxa" w:w="1234"/>
          </w:tcPr>
          <w:p>
            <w:r>
              <w:t>0.00</w:t>
            </w:r>
          </w:p>
        </w:tc>
      </w:tr>
      <w:tr>
        <w:tc>
          <w:tcPr>
            <w:tcW w:type="dxa" w:w="8638"/>
            <w:gridSpan w:val="7"/>
          </w:tcPr>
          <w:p>
            <w:r>
              <w:t>Directors (excluding our Promoters)</w:t>
            </w:r>
          </w:p>
        </w:tc>
      </w:tr>
      <w:tr>
        <w:tc>
          <w:tcPr>
            <w:tcW w:type="dxa" w:w="1234"/>
          </w:tcPr>
          <w:p>
            <w:r>
              <w:t>Delta Fabrication Limited</w:t>
            </w:r>
          </w:p>
        </w:tc>
        <w:tc>
          <w:tcPr>
            <w:tcW w:type="dxa" w:w="1234"/>
          </w:tcPr>
          <w:p>
            <w:r>
              <w:t>1</w:t>
            </w:r>
          </w:p>
        </w:tc>
        <w:tc>
          <w:tcPr>
            <w:tcW w:type="dxa" w:w="1234"/>
          </w:tcPr>
          <w:p>
            <w:r>
              <w:t>0</w:t>
            </w:r>
          </w:p>
        </w:tc>
        <w:tc>
          <w:tcPr>
            <w:tcW w:type="dxa" w:w="1234"/>
          </w:tcPr>
          <w:p>
            <w:r>
              <w:t>N.A.</w:t>
            </w:r>
          </w:p>
        </w:tc>
        <w:tc>
          <w:tcPr>
            <w:tcW w:type="dxa" w:w="1234"/>
          </w:tcPr>
          <w:p>
            <w:r>
              <w:t>N.A.</w:t>
            </w:r>
          </w:p>
        </w:tc>
        <w:tc>
          <w:tcPr>
            <w:tcW w:type="dxa" w:w="1234"/>
          </w:tcPr>
          <w:p>
            <w:r>
              <w:t>2</w:t>
            </w:r>
          </w:p>
        </w:tc>
        <w:tc>
          <w:tcPr>
            <w:tcW w:type="dxa" w:w="1234"/>
          </w:tcPr>
          <w:p>
            <w:r>
              <w:t>1,360.00</w:t>
            </w:r>
          </w:p>
        </w:tc>
      </w:tr>
      <w:tr>
        <w:tc>
          <w:tcPr>
            <w:tcW w:type="dxa" w:w="1234"/>
          </w:tcPr>
          <w:p>
            <w:r>
              <w:t>Evergreen Textiles Private Limited</w:t>
            </w:r>
          </w:p>
        </w:tc>
        <w:tc>
          <w:tcPr>
            <w:tcW w:type="dxa" w:w="1234"/>
          </w:tcPr>
          <w:p>
            <w:r>
              <w:t>1</w:t>
            </w:r>
          </w:p>
        </w:tc>
        <w:tc>
          <w:tcPr>
            <w:tcW w:type="dxa" w:w="1234"/>
          </w:tcPr>
          <w:p>
            <w:r>
              <w:t>1</w:t>
            </w:r>
          </w:p>
        </w:tc>
        <w:tc>
          <w:tcPr>
            <w:tcW w:type="dxa" w:w="1234"/>
          </w:tcPr>
          <w:p>
            <w:r>
              <w:t>0</w:t>
            </w:r>
          </w:p>
        </w:tc>
        <w:tc>
          <w:tcPr>
            <w:tcW w:type="dxa" w:w="1234"/>
          </w:tcPr>
          <w:p>
            <w:r>
              <w:t>N.A.</w:t>
            </w:r>
          </w:p>
        </w:tc>
        <w:tc>
          <w:tcPr>
            <w:tcW w:type="dxa" w:w="1234"/>
          </w:tcPr>
          <w:p>
            <w:r>
              <w:t>0</w:t>
            </w:r>
          </w:p>
        </w:tc>
        <w:tc>
          <w:tcPr>
            <w:tcW w:type="dxa" w:w="1234"/>
          </w:tcPr>
          <w:p>
            <w:r>
              <w:t>0.73</w:t>
            </w:r>
          </w:p>
        </w:tc>
      </w:tr>
      <w:tr>
        <w:tc>
          <w:tcPr>
            <w:tcW w:type="dxa" w:w="8638"/>
            <w:gridSpan w:val="7"/>
          </w:tcPr>
          <w:p>
            <w:r>
              <w:t>Promoters (including the Executive Directors who are also our Promoters)</w:t>
            </w:r>
          </w:p>
        </w:tc>
      </w:tr>
      <w:tr>
        <w:tc>
          <w:tcPr>
            <w:tcW w:type="dxa" w:w="1234"/>
          </w:tcPr>
          <w:p>
            <w:r>
              <w:t>Falcon Capital Limited</w:t>
            </w:r>
          </w:p>
        </w:tc>
        <w:tc>
          <w:tcPr>
            <w:tcW w:type="dxa" w:w="1234"/>
          </w:tcPr>
          <w:p>
            <w:r>
              <w:t>1</w:t>
            </w:r>
          </w:p>
        </w:tc>
        <w:tc>
          <w:tcPr>
            <w:tcW w:type="dxa" w:w="1234"/>
          </w:tcPr>
          <w:p>
            <w:r>
              <w:t>0</w:t>
            </w:r>
          </w:p>
        </w:tc>
        <w:tc>
          <w:tcPr>
            <w:tcW w:type="dxa" w:w="1234"/>
          </w:tcPr>
          <w:p>
            <w:r>
              <w:t>N.A.</w:t>
            </w:r>
          </w:p>
        </w:tc>
        <w:tc>
          <w:tcPr>
            <w:tcW w:type="dxa" w:w="1234"/>
          </w:tcPr>
          <w:p>
            <w:r>
              <w:t>N.A.</w:t>
            </w:r>
          </w:p>
        </w:tc>
        <w:tc>
          <w:tcPr>
            <w:tcW w:type="dxa" w:w="1234"/>
          </w:tcPr>
          <w:p>
            <w:r>
              <w:t>1</w:t>
            </w:r>
          </w:p>
        </w:tc>
        <w:tc>
          <w:tcPr>
            <w:tcW w:type="dxa" w:w="1234"/>
          </w:tcPr>
          <w:p>
            <w:r>
              <w:t>50.00</w:t>
            </w:r>
          </w:p>
        </w:tc>
      </w:tr>
      <w:tr>
        <w:tc>
          <w:tcPr>
            <w:tcW w:type="dxa" w:w="1234"/>
          </w:tcPr>
          <w:p>
            <w:r>
              <w:t>Granite Logistics LLP</w:t>
            </w:r>
          </w:p>
        </w:tc>
        <w:tc>
          <w:tcPr>
            <w:tcW w:type="dxa" w:w="1234"/>
          </w:tcPr>
          <w:p>
            <w:r>
              <w:t>0</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2.78</w:t>
            </w:r>
          </w:p>
        </w:tc>
      </w:tr>
      <w:tr>
        <w:tc>
          <w:tcPr>
            <w:tcW w:type="dxa" w:w="8638"/>
            <w:gridSpan w:val="7"/>
          </w:tcPr>
          <w:p>
            <w:r>
              <w:t>Key Managerial Personnel (“KMPs”) (excluding our Executive Directors) (1)</w:t>
            </w:r>
          </w:p>
        </w:tc>
      </w:tr>
      <w:tr>
        <w:tc>
          <w:tcPr>
            <w:tcW w:type="dxa" w:w="1234"/>
          </w:tcPr>
          <w:p>
            <w:r>
              <w:t>Horizon Chemicals Limited</w:t>
            </w:r>
          </w:p>
        </w:tc>
        <w:tc>
          <w:tcPr>
            <w:tcW w:type="dxa" w:w="1234"/>
          </w:tcPr>
          <w:p>
            <w:r>
              <w:t>0</w:t>
            </w:r>
          </w:p>
        </w:tc>
        <w:tc>
          <w:tcPr>
            <w:tcW w:type="dxa" w:w="1234"/>
          </w:tcPr>
          <w:p>
            <w:r>
              <w:t>N.A.</w:t>
            </w:r>
          </w:p>
        </w:tc>
        <w:tc>
          <w:tcPr>
            <w:tcW w:type="dxa" w:w="1234"/>
          </w:tcPr>
          <w:p>
            <w:r>
              <w:t>N.A.</w:t>
            </w:r>
          </w:p>
        </w:tc>
        <w:tc>
          <w:tcPr>
            <w:tcW w:type="dxa" w:w="1234"/>
          </w:tcPr>
          <w:p>
            <w:r>
              <w:t>N.A.</w:t>
            </w:r>
          </w:p>
        </w:tc>
        <w:tc>
          <w:tcPr>
            <w:tcW w:type="dxa" w:w="1234"/>
          </w:tcPr>
          <w:p>
            <w:r>
              <w:t>N.A.</w:t>
            </w:r>
          </w:p>
        </w:tc>
        <w:tc>
          <w:tcPr>
            <w:tcW w:type="dxa" w:w="1234"/>
          </w:tcPr>
          <w:p>
            <w:r>
              <w:t>0.00</w:t>
            </w:r>
          </w:p>
        </w:tc>
      </w:tr>
      <w:tr>
        <w:tc>
          <w:tcPr>
            <w:tcW w:type="dxa" w:w="1234"/>
          </w:tcPr>
          <w:p>
            <w:r>
              <w:t>Ironclad Engineering Pvt. Ltd.</w:t>
            </w:r>
          </w:p>
        </w:tc>
        <w:tc>
          <w:tcPr>
            <w:tcW w:type="dxa" w:w="1234"/>
          </w:tcPr>
          <w:p>
            <w:r>
              <w:t>0</w:t>
            </w:r>
          </w:p>
        </w:tc>
        <w:tc>
          <w:tcPr>
            <w:tcW w:type="dxa" w:w="1234"/>
          </w:tcPr>
          <w:p>
            <w:r>
              <w:t>N.A.</w:t>
            </w:r>
          </w:p>
        </w:tc>
        <w:tc>
          <w:tcPr>
            <w:tcW w:type="dxa" w:w="1234"/>
          </w:tcPr>
          <w:p>
            <w:r>
              <w:t>0</w:t>
            </w:r>
          </w:p>
        </w:tc>
        <w:tc>
          <w:tcPr>
            <w:tcW w:type="dxa" w:w="1234"/>
          </w:tcPr>
          <w:p>
            <w:r>
              <w:t>N.A.</w:t>
            </w:r>
          </w:p>
        </w:tc>
        <w:tc>
          <w:tcPr>
            <w:tcW w:type="dxa" w:w="1234"/>
          </w:tcPr>
          <w:p>
            <w:r>
              <w:t>N.A.</w:t>
            </w:r>
          </w:p>
        </w:tc>
        <w:tc>
          <w:tcPr>
            <w:tcW w:type="dxa" w:w="1234"/>
          </w:tcPr>
          <w:p>
            <w:r>
              <w:t>0.00</w:t>
            </w:r>
          </w:p>
        </w:tc>
      </w:tr>
      <w:tr>
        <w:tc>
          <w:tcPr>
            <w:tcW w:type="dxa" w:w="8638"/>
            <w:gridSpan w:val="7"/>
          </w:tcPr>
          <w:p>
            <w:r>
              <w:t>Senior Management (“SM”) (excluding our KMPs)(2)</w:t>
            </w:r>
          </w:p>
        </w:tc>
      </w:tr>
      <w:tr>
        <w:tc>
          <w:tcPr>
            <w:tcW w:type="dxa" w:w="1234"/>
          </w:tcPr>
          <w:p>
            <w:r>
              <w:t>Junction Retail Limited</w:t>
            </w:r>
          </w:p>
        </w:tc>
        <w:tc>
          <w:tcPr>
            <w:tcW w:type="dxa" w:w="1234"/>
          </w:tcPr>
          <w:p>
            <w:r>
              <w:t>0</w:t>
            </w:r>
          </w:p>
        </w:tc>
        <w:tc>
          <w:tcPr>
            <w:tcW w:type="dxa" w:w="1234"/>
          </w:tcPr>
          <w:p>
            <w:r>
              <w:t>N.A.</w:t>
            </w:r>
          </w:p>
        </w:tc>
        <w:tc>
          <w:tcPr>
            <w:tcW w:type="dxa" w:w="1234"/>
          </w:tcPr>
          <w:p>
            <w:r>
              <w:t>N.A.</w:t>
            </w:r>
          </w:p>
        </w:tc>
        <w:tc>
          <w:tcPr>
            <w:tcW w:type="dxa" w:w="1234"/>
          </w:tcPr>
          <w:p>
            <w:r>
              <w:t>N.A.</w:t>
            </w:r>
          </w:p>
        </w:tc>
        <w:tc>
          <w:tcPr>
            <w:tcW w:type="dxa" w:w="1234"/>
          </w:tcPr>
          <w:p>
            <w:r>
              <w:t>N.A.</w:t>
            </w:r>
          </w:p>
        </w:tc>
        <w:tc>
          <w:tcPr>
            <w:tcW w:type="dxa" w:w="1234"/>
          </w:tcPr>
          <w:p>
            <w:r>
              <w:t>0.00</w:t>
            </w:r>
          </w:p>
        </w:tc>
      </w:tr>
      <w:tr>
        <w:tc>
          <w:tcPr>
            <w:tcW w:type="dxa" w:w="1234"/>
          </w:tcPr>
          <w:p>
            <w:r>
              <w:t>Kestrel Finance Limited</w:t>
            </w:r>
          </w:p>
        </w:tc>
        <w:tc>
          <w:tcPr>
            <w:tcW w:type="dxa" w:w="1234"/>
          </w:tcPr>
          <w:p>
            <w:r>
              <w:t>0</w:t>
            </w:r>
          </w:p>
        </w:tc>
        <w:tc>
          <w:tcPr>
            <w:tcW w:type="dxa" w:w="1234"/>
          </w:tcPr>
          <w:p>
            <w:r>
              <w:t>N.A.</w:t>
            </w:r>
          </w:p>
        </w:tc>
        <w:tc>
          <w:tcPr>
            <w:tcW w:type="dxa" w:w="1234"/>
          </w:tcPr>
          <w:p>
            <w:r>
              <w:t>0</w:t>
            </w:r>
          </w:p>
        </w:tc>
        <w:tc>
          <w:tcPr>
            <w:tcW w:type="dxa" w:w="1234"/>
          </w:tcPr>
          <w:p>
            <w:r>
              <w:t>N.A.</w:t>
            </w:r>
          </w:p>
        </w:tc>
        <w:tc>
          <w:tcPr>
            <w:tcW w:type="dxa" w:w="1234"/>
          </w:tcPr>
          <w:p>
            <w:r>
              <w:t>N.A.</w:t>
            </w:r>
          </w:p>
        </w:tc>
        <w:tc>
          <w:tcPr>
            <w:tcW w:type="dxa" w:w="1234"/>
          </w:tcPr>
          <w:p>
            <w:r>
              <w:t>0.00</w:t>
            </w:r>
          </w:p>
        </w:tc>
      </w:tr>
    </w:tbl>
    <w:p>
      <w:pPr>
        <w:pStyle w:val="BodyText"/>
      </w:pPr>
    </w:p>
    <w:p>
      <w:r>
        <w:t>*</w:t>
        <w:tab/>
        <w:t>To the extent quantifiable.</w:t>
      </w:r>
    </w:p>
    <w:p>
      <w:r>
        <w:t>#</w:t>
        <w:tab/>
        <w:t>Determined in accordance with the Materiality Policy. Notes:</w:t>
      </w:r>
    </w:p>
    <w:p>
      <w:pPr>
        <w:pStyle w:val="ListParagraph"/>
      </w:pPr>
      <w:r>
        <w:t>Certain of our KMPs including, Emily Davis, Priya Sharma, Jane Smith and Peter Parker are also our Executive Directors. Hence, litigation against our Executive Directors have not been included under the heading of KMPs to avoid repetition.</w:t>
      </w:r>
    </w:p>
    <w:p>
      <w:pPr>
        <w:pStyle w:val="ListParagraph"/>
      </w:pPr>
      <w:r>
        <w:t>Certain of our SMs including, Sandesh Bhagwat, CEO, Amod Joshi, CFO, John Doe, CS and Compliance Officer, and Ganesh Prasad, Technical Director, are also our KMPs. Hence, litigation against our KMPs have not been included under the heading of SMs to avoid repetition.</w:t>
      </w:r>
    </w:p>
    <w:p>
      <w:pPr>
        <w:pStyle w:val="BodyText"/>
      </w:pPr>
    </w:p>
    <w:p>
      <w:pPr>
        <w:pStyle w:val="BodyText"/>
      </w:pPr>
      <w:r>
        <w:t>Further, as on the date of this Red Herring Prospectus, there are no outstanding litigation involving our Group Companies which may have a material impact on our Company.</w:t>
      </w:r>
    </w:p>
    <w:p>
      <w:r>
        <w:t>For further details, see “Outstanding Litigation and Material Developments” on page 388.</w:t>
      </w:r>
    </w:p>
    <w:p>
      <w:pPr>
        <w:pStyle w:val="Heading3"/>
      </w:pPr>
      <w:r>
        <w:t>Risk Factors</w:t>
      </w:r>
    </w:p>
    <w:p>
      <w:pPr>
        <w:pStyle w:val="Heading3"/>
      </w:pPr>
    </w:p>
    <w:p>
      <w:pPr>
        <w:pStyle w:val="BodyText"/>
      </w:pPr>
      <w:r>
        <w:t>Specific attention of Bidders is invited to the section “Risk Factors” on page 28. Bidders are advised to read the risk factors carefully before taking an investment decision in the Offer. Set forth below are the top 10 risk factors applicable to our Company:</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S. No.</w:t>
            </w:r>
          </w:p>
        </w:tc>
        <w:tc>
          <w:tcPr>
            <w:tcW w:type="dxa" w:w="4320"/>
          </w:tcPr>
          <w:p>
            <w:r>
              <w:t>Description of Risk</w:t>
            </w:r>
          </w:p>
        </w:tc>
      </w:tr>
      <w:tr>
        <w:tc>
          <w:tcPr>
            <w:tcW w:type="dxa" w:w="4320"/>
          </w:tcPr>
          <w:p>
            <w:r>
              <w:t>1.</w:t>
            </w:r>
          </w:p>
        </w:tc>
        <w:tc>
          <w:tcPr>
            <w:tcW w:type="dxa" w:w="4320"/>
          </w:tcPr>
          <w:p>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br/>
              <w:t>flows.</w:t>
            </w:r>
          </w:p>
        </w:tc>
      </w:tr>
      <w:tr>
        <w:tc>
          <w:tcPr>
            <w:tcW w:type="dxa" w:w="4320"/>
          </w:tcPr>
          <w:p>
            <w:r>
              <w:t>2.</w:t>
            </w:r>
          </w:p>
        </w:tc>
        <w:tc>
          <w:tcPr>
            <w:tcW w:type="dxa" w:w="4320"/>
          </w:tcPr>
          <w:p>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br/>
              <w:t>of suppliers or interruptions in the timely delivery of raw materials or volatility in their prices could have an adverse impact on our business, financial condition, cash flows and results of operations.</w:t>
            </w:r>
          </w:p>
        </w:tc>
      </w:tr>
      <w:tr>
        <w:tc>
          <w:tcPr>
            <w:tcW w:type="dxa" w:w="4320"/>
          </w:tcPr>
          <w:p>
            <w:r>
              <w:t>3.</w:t>
            </w:r>
          </w:p>
        </w:tc>
        <w:tc>
          <w:tcPr>
            <w:tcW w:type="dxa" w:w="4320"/>
          </w:tcPr>
          <w:p>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br/>
              <w:t>business, results of operations and financial condition.</w:t>
            </w:r>
          </w:p>
        </w:tc>
      </w:tr>
      <w:tr>
        <w:tc>
          <w:tcPr>
            <w:tcW w:type="dxa" w:w="4320"/>
          </w:tcPr>
          <w:p>
            <w:r>
              <w:t>4.</w:t>
            </w:r>
          </w:p>
        </w:tc>
        <w:tc>
          <w:tcPr>
            <w:tcW w:type="dxa" w:w="4320"/>
          </w:tcPr>
          <w:p>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br/>
              <w:t>of operations and financial condition.</w:t>
            </w:r>
          </w:p>
        </w:tc>
      </w:tr>
      <w:tr>
        <w:tc>
          <w:tcPr>
            <w:tcW w:type="dxa" w:w="4320"/>
          </w:tcPr>
          <w:p>
            <w:r>
              <w:t>5.</w:t>
            </w:r>
          </w:p>
        </w:tc>
        <w:tc>
          <w:tcPr>
            <w:tcW w:type="dxa" w:w="4320"/>
          </w:tcPr>
          <w:p>
            <w:r>
              <w:t>We derive a substantial portion of our revenue (more than 70% in each of the three-month period ended June 30, 2025, and</w:t>
              <w:br/>
              <w:t>Fiscals 2025, 2024 and 2023) from the sale of specialized magnet winding wires. Any reduction in demand for our key products would have a material adverse effect on our business, financial condition, results of operations and cash flows.</w:t>
            </w:r>
          </w:p>
        </w:tc>
      </w:tr>
      <w:tr>
        <w:tc>
          <w:tcPr>
            <w:tcW w:type="dxa" w:w="4320"/>
          </w:tcPr>
          <w:p>
            <w:r>
              <w:t>6.</w:t>
            </w:r>
          </w:p>
        </w:tc>
        <w:tc>
          <w:tcPr>
            <w:tcW w:type="dxa" w:w="4320"/>
          </w:tcPr>
          <w:p>
            <w:r>
              <w:t>We have not yet placed orders in relation to the capital expenditure to be incurred for certain of our proposed objects of the Offer. In the event of any delay in placing the orders, or in the event the vendors are not able to provide the requisite equipment in a</w:t>
              <w:br/>
              <w:t>timely manner, or at all, the same may result in time and cost over-runs.</w:t>
            </w:r>
          </w:p>
        </w:tc>
      </w:tr>
      <w:tr>
        <w:tc>
          <w:tcPr>
            <w:tcW w:type="dxa" w:w="4320"/>
          </w:tcPr>
          <w:p>
            <w:r>
              <w:t>7.</w:t>
            </w:r>
          </w:p>
        </w:tc>
        <w:tc>
          <w:tcPr>
            <w:tcW w:type="dxa" w:w="4320"/>
          </w:tcPr>
          <w:p>
            <w:r>
              <w:t>Our operations are significantly dependent on our manufacturing facilities. Any unscheduled, unplanned or prolonged disruption, slowdown or shutdown of our manufacturing facilities could have a material adverse effect on our business, financial condition,</w:t>
              <w:br/>
              <w:t>cash flows and results of operations.</w:t>
            </w:r>
          </w:p>
        </w:tc>
      </w:tr>
      <w:tr>
        <w:tc>
          <w:tcPr>
            <w:tcW w:type="dxa" w:w="4320"/>
          </w:tcPr>
          <w:p>
            <w:r>
              <w:t>8.</w:t>
            </w:r>
          </w:p>
        </w:tc>
        <w:tc>
          <w:tcPr>
            <w:tcW w:type="dxa" w:w="4320"/>
          </w:tcPr>
          <w:p>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tc>
      </w:tr>
      <w:tr>
        <w:tc>
          <w:tcPr>
            <w:tcW w:type="dxa" w:w="4320"/>
          </w:tcPr>
          <w:p>
            <w:r>
              <w:t>9.</w:t>
            </w:r>
          </w:p>
        </w:tc>
        <w:tc>
          <w:tcPr>
            <w:tcW w:type="dxa" w:w="4320"/>
          </w:tcPr>
          <w:p>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c>
          <w:tcPr>
            <w:tcW w:type="dxa" w:w="4320"/>
          </w:tcPr>
          <w:p>
            <w:r>
              <w:t>10.</w:t>
            </w:r>
          </w:p>
        </w:tc>
        <w:tc>
          <w:tcPr>
            <w:tcW w:type="dxa" w:w="4320"/>
          </w:tcPr>
          <w:p>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br/>
              <w:t>business, revenue operations, financial condition and cash flows.</w:t>
            </w:r>
          </w:p>
        </w:tc>
      </w:tr>
    </w:tbl>
    <w:p>
      <w:pPr>
        <w:pStyle w:val="BodyText"/>
      </w:pPr>
    </w:p>
    <w:p>
      <w:pPr>
        <w:pStyle w:val="BodyText"/>
      </w:pPr>
    </w:p>
    <w:p>
      <w:r>
        <w:t>For further details, see “Risk Factors” on page 28.</w:t>
      </w:r>
    </w:p>
    <w:p>
      <w:pPr>
        <w:pStyle w:val="Heading3"/>
      </w:pPr>
      <w:r>
        <w:t>Summary of contingent liabilities</w:t>
      </w:r>
    </w:p>
    <w:p>
      <w:pPr>
        <w:pStyle w:val="BodyText"/>
      </w:pPr>
      <w:r>
        <w:t>The following is a summary table of our contingent liabilities as at the three-month period ended June 30, 2025, as derived from the Restated Financial Statements:</w:t>
      </w:r>
    </w:p>
    <w:p>
      <w:r>
        <w:t>(₹ in million)</w:t>
      </w:r>
    </w:p>
    <w:tbl>
      <w:tblPr>
        <w:tblStyle w:val="LightGrid-Accent1"/>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at June 30, 2025</w:t>
            </w:r>
          </w:p>
        </w:tc>
      </w:tr>
      <w:tr>
        <w:tc>
          <w:tcPr>
            <w:tcW w:type="dxa" w:w="4320"/>
          </w:tcPr>
          <w:p>
            <w:r>
              <w:t>Open bank guarantees outstanding</w:t>
            </w:r>
          </w:p>
        </w:tc>
        <w:tc>
          <w:tcPr>
            <w:tcW w:type="dxa" w:w="4320"/>
          </w:tcPr>
          <w:p>
            <w:r>
              <w:t>34.92</w:t>
            </w:r>
          </w:p>
        </w:tc>
      </w:tr>
    </w:tbl>
    <w:p/>
    <w:p>
      <w:pPr>
        <w:pStyle w:val="BodyText"/>
      </w:pPr>
    </w:p>
    <w:p>
      <w:r>
        <w:t>For details, see “Restated Financial Statements – Note 28: Contingent liabilities and commitments” on page 322.</w:t>
      </w:r>
    </w:p>
    <w:p>
      <w:pPr>
        <w:pStyle w:val="Heading3"/>
      </w:pPr>
      <w:r>
        <w:t>Summary of related party transactions</w:t>
      </w:r>
    </w:p>
    <w:p>
      <w:pPr>
        <w:pStyle w:val="BodyText"/>
      </w:pPr>
      <w:r>
        <w:t>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w:t>
      </w:r>
    </w:p>
    <w:p>
      <w:r>
        <w:t>(₹ in million)</w:t>
      </w:r>
    </w:p>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Nature of transaction</w:t>
            </w:r>
          </w:p>
        </w:tc>
        <w:tc>
          <w:tcPr>
            <w:tcW w:type="dxa" w:w="785"/>
          </w:tcPr>
          <w:p>
            <w:r>
              <w:t>Name of related party with whom transactions have taken</w:t>
              <w:br/>
              <w:t>place</w:t>
            </w:r>
          </w:p>
        </w:tc>
        <w:tc>
          <w:tcPr>
            <w:tcW w:type="dxa" w:w="785"/>
          </w:tcPr>
          <w:p>
            <w:r>
              <w:t>Nature of relationship</w:t>
            </w:r>
          </w:p>
        </w:tc>
        <w:tc>
          <w:tcPr>
            <w:tcW w:type="dxa" w:w="785"/>
          </w:tcPr>
          <w:p>
            <w:r>
              <w:t>Three-month period ended June 30,</w:t>
              <w:br/>
              <w:t>2025</w:t>
            </w:r>
          </w:p>
        </w:tc>
        <w:tc>
          <w:tcPr>
            <w:tcW w:type="dxa" w:w="785"/>
          </w:tcPr>
          <w:p>
            <w:r>
              <w:t>% of revenue from operations</w:t>
            </w:r>
          </w:p>
        </w:tc>
        <w:tc>
          <w:tcPr>
            <w:tcW w:type="dxa" w:w="785"/>
          </w:tcPr>
          <w:p>
            <w:r>
              <w:t>Fiscal 2025</w:t>
            </w:r>
          </w:p>
        </w:tc>
        <w:tc>
          <w:tcPr>
            <w:tcW w:type="dxa" w:w="785"/>
          </w:tcPr>
          <w:p>
            <w:r>
              <w:t>% of revenue from operations</w:t>
            </w:r>
          </w:p>
        </w:tc>
        <w:tc>
          <w:tcPr>
            <w:tcW w:type="dxa" w:w="785"/>
          </w:tcPr>
          <w:p>
            <w:r>
              <w:t>Fiscal 2024</w:t>
            </w:r>
          </w:p>
        </w:tc>
        <w:tc>
          <w:tcPr>
            <w:tcW w:type="dxa" w:w="785"/>
          </w:tcPr>
          <w:p>
            <w:r>
              <w:t>% of revenue from operations</w:t>
            </w:r>
          </w:p>
        </w:tc>
        <w:tc>
          <w:tcPr>
            <w:tcW w:type="dxa" w:w="785"/>
          </w:tcPr>
          <w:p>
            <w:r>
              <w:t>Fiscal 2023</w:t>
            </w:r>
          </w:p>
        </w:tc>
        <w:tc>
          <w:tcPr>
            <w:tcW w:type="dxa" w:w="785"/>
          </w:tcPr>
          <w:p>
            <w:r>
              <w:t>% of revenue from operations</w:t>
            </w:r>
          </w:p>
        </w:tc>
      </w:tr>
      <w:tr>
        <w:tc>
          <w:tcPr>
            <w:tcW w:type="dxa" w:w="785"/>
          </w:tcPr>
          <w:p>
            <w:r>
              <w:t>Purchase</w:t>
              <w:tab/>
              <w:t>of goods</w:t>
            </w:r>
          </w:p>
        </w:tc>
        <w:tc>
          <w:tcPr>
            <w:tcW w:type="dxa" w:w="785"/>
          </w:tcPr>
          <w:p>
            <w:r>
              <w:t>John Doe</w:t>
            </w:r>
          </w:p>
        </w:tc>
        <w:tc>
          <w:tcPr>
            <w:tcW w:type="dxa" w:w="785"/>
          </w:tcPr>
          <w:p>
            <w:r>
              <w:t>Promoters are partners in</w:t>
              <w:tab/>
              <w:t>the</w:t>
              <w:br/>
              <w:t>partnership firm</w:t>
            </w:r>
          </w:p>
        </w:tc>
        <w:tc>
          <w:tcPr>
            <w:tcW w:type="dxa" w:w="785"/>
          </w:tcPr>
          <w:p>
            <w:r>
              <w:t>0.39</w:t>
            </w:r>
          </w:p>
        </w:tc>
        <w:tc>
          <w:tcPr>
            <w:tcW w:type="dxa" w:w="785"/>
          </w:tcPr>
          <w:p>
            <w:r>
              <w:t>0.01%</w:t>
            </w:r>
          </w:p>
        </w:tc>
        <w:tc>
          <w:tcPr>
            <w:tcW w:type="dxa" w:w="785"/>
          </w:tcPr>
          <w:p>
            <w:r>
              <w:t>0.27</w:t>
            </w:r>
          </w:p>
        </w:tc>
        <w:tc>
          <w:tcPr>
            <w:tcW w:type="dxa" w:w="785"/>
          </w:tcPr>
          <w:p>
            <w:r>
              <w:t>0.00%</w:t>
            </w:r>
          </w:p>
        </w:tc>
        <w:tc>
          <w:tcPr>
            <w:tcW w:type="dxa" w:w="785"/>
          </w:tcPr>
          <w:p>
            <w:r>
              <w:t>0.28</w:t>
            </w:r>
          </w:p>
        </w:tc>
        <w:tc>
          <w:tcPr>
            <w:tcW w:type="dxa" w:w="785"/>
          </w:tcPr>
          <w:p>
            <w:r>
              <w:t>0.00%</w:t>
            </w:r>
          </w:p>
        </w:tc>
        <w:tc>
          <w:tcPr>
            <w:tcW w:type="dxa" w:w="785"/>
          </w:tcPr>
          <w:p>
            <w:r>
              <w:t>0.19</w:t>
            </w:r>
          </w:p>
        </w:tc>
        <w:tc>
          <w:tcPr>
            <w:tcW w:type="dxa" w:w="785"/>
          </w:tcPr>
          <w:p>
            <w:r>
              <w:t>0.00%</w:t>
            </w:r>
          </w:p>
        </w:tc>
      </w:tr>
      <w:tr>
        <w:tc>
          <w:tcPr>
            <w:tcW w:type="dxa" w:w="785"/>
          </w:tcPr>
          <w:p>
            <w:r>
              <w:t>Purchase</w:t>
              <w:tab/>
              <w:t>of goods</w:t>
            </w:r>
          </w:p>
        </w:tc>
        <w:tc>
          <w:tcPr>
            <w:tcW w:type="dxa" w:w="785"/>
          </w:tcPr>
          <w:p>
            <w:r>
              <w:t>Peter Parker</w:t>
            </w:r>
          </w:p>
        </w:tc>
        <w:tc>
          <w:tcPr>
            <w:tcW w:type="dxa" w:w="785"/>
          </w:tcPr>
          <w:p>
            <w:r>
              <w:t>Promoters are partners in</w:t>
              <w:tab/>
              <w:t>the</w:t>
              <w:br/>
              <w:t>partnership firm</w:t>
            </w:r>
          </w:p>
        </w:tc>
        <w:tc>
          <w:tcPr>
            <w:tcW w:type="dxa" w:w="785"/>
          </w:tcPr>
          <w:p>
            <w:r>
              <w:t>-</w:t>
            </w:r>
          </w:p>
        </w:tc>
        <w:tc>
          <w:tcPr>
            <w:tcW w:type="dxa" w:w="785"/>
          </w:tcPr>
          <w:p>
            <w:r>
              <w:t>-</w:t>
            </w:r>
          </w:p>
        </w:tc>
        <w:tc>
          <w:tcPr>
            <w:tcW w:type="dxa" w:w="785"/>
          </w:tcPr>
          <w:p>
            <w:r>
              <w:t>0.27</w:t>
            </w:r>
          </w:p>
        </w:tc>
        <w:tc>
          <w:tcPr>
            <w:tcW w:type="dxa" w:w="785"/>
          </w:tcPr>
          <w:p>
            <w:r>
              <w:t>0.00%</w:t>
            </w:r>
          </w:p>
        </w:tc>
        <w:tc>
          <w:tcPr>
            <w:tcW w:type="dxa" w:w="785"/>
          </w:tcPr>
          <w:p>
            <w:r>
              <w:t>0.10</w:t>
            </w:r>
          </w:p>
        </w:tc>
        <w:tc>
          <w:tcPr>
            <w:tcW w:type="dxa" w:w="785"/>
          </w:tcPr>
          <w:p>
            <w:r>
              <w:t>0.00%</w:t>
            </w:r>
          </w:p>
        </w:tc>
        <w:tc>
          <w:tcPr>
            <w:tcW w:type="dxa" w:w="785"/>
          </w:tcPr>
          <w:p>
            <w:r>
              <w:t>0.13</w:t>
            </w:r>
          </w:p>
        </w:tc>
        <w:tc>
          <w:tcPr>
            <w:tcW w:type="dxa" w:w="785"/>
          </w:tcPr>
          <w:p>
            <w:r>
              <w:t>0.00%</w:t>
            </w:r>
          </w:p>
        </w:tc>
      </w:tr>
      <w:tr>
        <w:tc>
          <w:tcPr>
            <w:tcW w:type="dxa" w:w="785"/>
          </w:tcPr>
          <w:p>
            <w:r>
              <w:t>Services received</w:t>
            </w:r>
          </w:p>
        </w:tc>
        <w:tc>
          <w:tcPr>
            <w:tcW w:type="dxa" w:w="785"/>
          </w:tcPr>
          <w:p>
            <w:r>
              <w:t>Lighthouse Foods Private Limited</w:t>
            </w:r>
          </w:p>
        </w:tc>
        <w:tc>
          <w:tcPr>
            <w:tcW w:type="dxa" w:w="785"/>
          </w:tcPr>
          <w:p>
            <w:r>
              <w:t>Common control</w:t>
            </w:r>
          </w:p>
        </w:tc>
        <w:tc>
          <w:tcPr>
            <w:tcW w:type="dxa" w:w="785"/>
          </w:tcPr>
          <w:p>
            <w:r>
              <w:t>0.37</w:t>
            </w:r>
          </w:p>
        </w:tc>
        <w:tc>
          <w:tcPr>
            <w:tcW w:type="dxa" w:w="785"/>
          </w:tcPr>
          <w:p>
            <w:r>
              <w:t>0.01%</w:t>
            </w:r>
          </w:p>
        </w:tc>
        <w:tc>
          <w:tcPr>
            <w:tcW w:type="dxa" w:w="785"/>
          </w:tcPr>
          <w:p>
            <w:r>
              <w:t>3.23</w:t>
            </w:r>
          </w:p>
        </w:tc>
        <w:tc>
          <w:tcPr>
            <w:tcW w:type="dxa" w:w="785"/>
          </w:tcPr>
          <w:p>
            <w:r>
              <w:t>0.02%</w:t>
            </w:r>
          </w:p>
        </w:tc>
        <w:tc>
          <w:tcPr>
            <w:tcW w:type="dxa" w:w="785"/>
          </w:tcPr>
          <w:p>
            <w:r>
              <w:t>2.91</w:t>
            </w:r>
          </w:p>
        </w:tc>
        <w:tc>
          <w:tcPr>
            <w:tcW w:type="dxa" w:w="785"/>
          </w:tcPr>
          <w:p>
            <w:r>
              <w:t>0.02%</w:t>
            </w:r>
          </w:p>
        </w:tc>
        <w:tc>
          <w:tcPr>
            <w:tcW w:type="dxa" w:w="785"/>
          </w:tcPr>
          <w:p>
            <w:r>
              <w:t>3.66</w:t>
            </w:r>
          </w:p>
        </w:tc>
        <w:tc>
          <w:tcPr>
            <w:tcW w:type="dxa" w:w="785"/>
          </w:tcPr>
          <w:p>
            <w:r>
              <w:t>0.03%</w:t>
            </w:r>
          </w:p>
        </w:tc>
      </w:tr>
      <w:tr>
        <w:tc>
          <w:tcPr>
            <w:tcW w:type="dxa" w:w="785"/>
          </w:tcPr>
          <w:p>
            <w:r>
              <w:t>Services received</w:t>
            </w:r>
          </w:p>
        </w:tc>
        <w:tc>
          <w:tcPr>
            <w:tcW w:type="dxa" w:w="785"/>
          </w:tcPr>
          <w:p>
            <w:r>
              <w:t>Jane Smith</w:t>
            </w:r>
          </w:p>
        </w:tc>
        <w:tc>
          <w:tcPr>
            <w:tcW w:type="dxa" w:w="785"/>
          </w:tcPr>
          <w:p>
            <w:r>
              <w:t>Promoters</w:t>
              <w:br/>
              <w:t>are trustees in the trust</w:t>
            </w:r>
          </w:p>
        </w:tc>
        <w:tc>
          <w:tcPr>
            <w:tcW w:type="dxa" w:w="785"/>
          </w:tcPr>
          <w:p>
            <w:r>
              <w:t>-</w:t>
            </w:r>
          </w:p>
        </w:tc>
        <w:tc>
          <w:tcPr>
            <w:tcW w:type="dxa" w:w="785"/>
          </w:tcPr>
          <w:p>
            <w:r>
              <w:t>-</w:t>
            </w:r>
          </w:p>
        </w:tc>
        <w:tc>
          <w:tcPr>
            <w:tcW w:type="dxa" w:w="785"/>
          </w:tcPr>
          <w:p>
            <w:r>
              <w:t>4.26</w:t>
            </w:r>
          </w:p>
        </w:tc>
        <w:tc>
          <w:tcPr>
            <w:tcW w:type="dxa" w:w="785"/>
          </w:tcPr>
          <w:p>
            <w:r>
              <w:t>0.02%</w:t>
            </w:r>
          </w:p>
        </w:tc>
        <w:tc>
          <w:tcPr>
            <w:tcW w:type="dxa" w:w="785"/>
          </w:tcPr>
          <w:p>
            <w:r>
              <w:t>1.50</w:t>
            </w:r>
          </w:p>
        </w:tc>
        <w:tc>
          <w:tcPr>
            <w:tcW w:type="dxa" w:w="785"/>
          </w:tcPr>
          <w:p>
            <w:r>
              <w:t>0.01%</w:t>
            </w:r>
          </w:p>
        </w:tc>
        <w:tc>
          <w:tcPr>
            <w:tcW w:type="dxa" w:w="785"/>
          </w:tcPr>
          <w:p>
            <w:r>
              <w:t>2.00</w:t>
            </w:r>
          </w:p>
        </w:tc>
        <w:tc>
          <w:tcPr>
            <w:tcW w:type="dxa" w:w="785"/>
          </w:tcPr>
          <w:p>
            <w:r>
              <w:t>0.02%</w:t>
            </w:r>
          </w:p>
        </w:tc>
      </w:tr>
      <w:tr>
        <w:tc>
          <w:tcPr>
            <w:tcW w:type="dxa" w:w="785"/>
          </w:tcPr>
          <w:p>
            <w:r>
              <w:t>Deposit paid</w:t>
            </w:r>
          </w:p>
        </w:tc>
        <w:tc>
          <w:tcPr>
            <w:tcW w:type="dxa" w:w="785"/>
          </w:tcPr>
          <w:p>
            <w:r>
              <w:t>Meridian Auto Components Limited</w:t>
            </w:r>
          </w:p>
        </w:tc>
        <w:tc>
          <w:tcPr>
            <w:tcW w:type="dxa" w:w="785"/>
          </w:tcPr>
          <w:p>
            <w:r>
              <w:t>Common control</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100.00</w:t>
            </w:r>
          </w:p>
        </w:tc>
        <w:tc>
          <w:tcPr>
            <w:tcW w:type="dxa" w:w="785"/>
          </w:tcPr>
          <w:p>
            <w:r>
              <w:t>0.95%</w:t>
            </w:r>
          </w:p>
        </w:tc>
      </w:tr>
      <w:tr>
        <w:tc>
          <w:tcPr>
            <w:tcW w:type="dxa" w:w="785"/>
          </w:tcPr>
          <w:p>
            <w:r>
              <w:t>Remuneration paid#</w:t>
            </w:r>
          </w:p>
        </w:tc>
        <w:tc>
          <w:tcPr>
            <w:tcW w:type="dxa" w:w="785"/>
          </w:tcPr>
          <w:p>
            <w:r>
              <w:t>Priya Sharma</w:t>
            </w:r>
          </w:p>
        </w:tc>
        <w:tc>
          <w:tcPr>
            <w:tcW w:type="dxa" w:w="785"/>
          </w:tcPr>
          <w:p>
            <w:r>
              <w:t>Key managerial personnel</w:t>
            </w:r>
          </w:p>
        </w:tc>
        <w:tc>
          <w:tcPr>
            <w:tcW w:type="dxa" w:w="785"/>
          </w:tcPr>
          <w:p>
            <w:r>
              <w:t>40.10</w:t>
            </w:r>
          </w:p>
        </w:tc>
        <w:tc>
          <w:tcPr>
            <w:tcW w:type="dxa" w:w="785"/>
          </w:tcPr>
          <w:p>
            <w:r>
              <w:t>0.72%</w:t>
            </w:r>
          </w:p>
        </w:tc>
        <w:tc>
          <w:tcPr>
            <w:tcW w:type="dxa" w:w="785"/>
          </w:tcPr>
          <w:p>
            <w:r>
              <w:t>138.44</w:t>
            </w:r>
          </w:p>
        </w:tc>
        <w:tc>
          <w:tcPr>
            <w:tcW w:type="dxa" w:w="785"/>
          </w:tcPr>
          <w:p>
            <w:r>
              <w:t>0.72%</w:t>
            </w:r>
          </w:p>
        </w:tc>
        <w:tc>
          <w:tcPr>
            <w:tcW w:type="dxa" w:w="785"/>
          </w:tcPr>
          <w:p>
            <w:r>
              <w:t>100.35</w:t>
            </w:r>
          </w:p>
        </w:tc>
        <w:tc>
          <w:tcPr>
            <w:tcW w:type="dxa" w:w="785"/>
          </w:tcPr>
          <w:p>
            <w:r>
              <w:t>0.73%</w:t>
            </w:r>
          </w:p>
        </w:tc>
        <w:tc>
          <w:tcPr>
            <w:tcW w:type="dxa" w:w="785"/>
          </w:tcPr>
          <w:p>
            <w:r>
              <w:t>123.32</w:t>
            </w:r>
          </w:p>
        </w:tc>
        <w:tc>
          <w:tcPr>
            <w:tcW w:type="dxa" w:w="785"/>
          </w:tcPr>
          <w:p>
            <w:r>
              <w:t>1.18%</w:t>
            </w:r>
          </w:p>
        </w:tc>
      </w:tr>
      <w:tr>
        <w:tc>
          <w:tcPr>
            <w:tcW w:type="dxa" w:w="785"/>
          </w:tcPr>
          <w:p>
            <w:r>
              <w:t>Remuneration paid#</w:t>
            </w:r>
          </w:p>
        </w:tc>
        <w:tc>
          <w:tcPr>
            <w:tcW w:type="dxa" w:w="785"/>
          </w:tcPr>
          <w:p>
            <w:r>
              <w:t>Michael Chen</w:t>
            </w:r>
          </w:p>
        </w:tc>
        <w:tc>
          <w:tcPr>
            <w:tcW w:type="dxa" w:w="785"/>
          </w:tcPr>
          <w:p>
            <w:r>
              <w:t>Relatives of key managerial personnel</w:t>
            </w:r>
          </w:p>
        </w:tc>
        <w:tc>
          <w:tcPr>
            <w:tcW w:type="dxa" w:w="785"/>
          </w:tcPr>
          <w:p>
            <w:r>
              <w:t>-</w:t>
            </w:r>
          </w:p>
        </w:tc>
        <w:tc>
          <w:tcPr>
            <w:tcW w:type="dxa" w:w="785"/>
          </w:tcPr>
          <w:p>
            <w:r>
              <w:t>-</w:t>
            </w:r>
          </w:p>
        </w:tc>
        <w:tc>
          <w:tcPr>
            <w:tcW w:type="dxa" w:w="785"/>
          </w:tcPr>
          <w:p>
            <w:r>
              <w:t>0.89</w:t>
            </w:r>
          </w:p>
        </w:tc>
        <w:tc>
          <w:tcPr>
            <w:tcW w:type="dxa" w:w="785"/>
          </w:tcPr>
          <w:p>
            <w:r>
              <w:t>0.00%</w:t>
            </w:r>
          </w:p>
        </w:tc>
        <w:tc>
          <w:tcPr>
            <w:tcW w:type="dxa" w:w="785"/>
          </w:tcPr>
          <w:p>
            <w:r>
              <w:t>0.98</w:t>
            </w:r>
          </w:p>
        </w:tc>
        <w:tc>
          <w:tcPr>
            <w:tcW w:type="dxa" w:w="785"/>
          </w:tcPr>
          <w:p>
            <w:r>
              <w:t>0.01%</w:t>
            </w:r>
          </w:p>
        </w:tc>
        <w:tc>
          <w:tcPr>
            <w:tcW w:type="dxa" w:w="785"/>
          </w:tcPr>
          <w:p>
            <w:r>
              <w:t>0.92</w:t>
            </w:r>
          </w:p>
        </w:tc>
        <w:tc>
          <w:tcPr>
            <w:tcW w:type="dxa" w:w="785"/>
          </w:tcPr>
          <w:p>
            <w:r>
              <w:t>0.01%</w:t>
            </w:r>
          </w:p>
        </w:tc>
      </w:tr>
      <w:tr>
        <w:tc>
          <w:tcPr>
            <w:tcW w:type="dxa" w:w="785"/>
          </w:tcPr>
          <w:p>
            <w:r>
              <w:t>Share</w:t>
              <w:tab/>
              <w:t>Based Payment Expense</w:t>
            </w:r>
          </w:p>
        </w:tc>
        <w:tc>
          <w:tcPr>
            <w:tcW w:type="dxa" w:w="785"/>
          </w:tcPr>
          <w:p>
            <w:r>
              <w:t>Emily Davis</w:t>
            </w:r>
          </w:p>
        </w:tc>
        <w:tc>
          <w:tcPr>
            <w:tcW w:type="dxa" w:w="785"/>
          </w:tcPr>
          <w:p>
            <w:r>
              <w:t>Key managerial personnel</w:t>
            </w:r>
          </w:p>
        </w:tc>
        <w:tc>
          <w:tcPr>
            <w:tcW w:type="dxa" w:w="785"/>
          </w:tcPr>
          <w:p>
            <w:r>
              <w:t>0.36</w:t>
            </w:r>
          </w:p>
        </w:tc>
        <w:tc>
          <w:tcPr>
            <w:tcW w:type="dxa" w:w="785"/>
          </w:tcPr>
          <w:p>
            <w:r>
              <w:t>0.01%</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r>
        <w:tc>
          <w:tcPr>
            <w:tcW w:type="dxa" w:w="785"/>
          </w:tcPr>
          <w:p>
            <w:r>
              <w:t>Sitting</w:t>
              <w:tab/>
              <w:t>Fees</w:t>
              <w:br/>
              <w:t>paid</w:t>
              <w:tab/>
              <w:t>to</w:t>
              <w:br/>
              <w:t>Independent Directors</w:t>
            </w:r>
          </w:p>
        </w:tc>
        <w:tc>
          <w:tcPr>
            <w:tcW w:type="dxa" w:w="785"/>
          </w:tcPr>
          <w:p>
            <w:r>
              <w:t>Amit Kumar</w:t>
            </w:r>
          </w:p>
        </w:tc>
        <w:tc>
          <w:tcPr>
            <w:tcW w:type="dxa" w:w="785"/>
          </w:tcPr>
          <w:p>
            <w:r>
              <w:t>Independent directors</w:t>
            </w:r>
          </w:p>
        </w:tc>
        <w:tc>
          <w:tcPr>
            <w:tcW w:type="dxa" w:w="785"/>
          </w:tcPr>
          <w:p>
            <w:r>
              <w:t>1.92</w:t>
            </w:r>
          </w:p>
        </w:tc>
        <w:tc>
          <w:tcPr>
            <w:tcW w:type="dxa" w:w="785"/>
          </w:tcPr>
          <w:p>
            <w:r>
              <w:t>0.03%</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r>
        <w:tc>
          <w:tcPr>
            <w:tcW w:type="dxa" w:w="2355"/>
            <w:gridSpan w:val="3"/>
          </w:tcPr>
          <w:p>
            <w:r>
              <w:t>Total</w:t>
            </w:r>
          </w:p>
        </w:tc>
        <w:tc>
          <w:tcPr>
            <w:tcW w:type="dxa" w:w="785"/>
          </w:tcPr>
          <w:p>
            <w:r>
              <w:t>43.14</w:t>
            </w:r>
          </w:p>
        </w:tc>
        <w:tc>
          <w:tcPr>
            <w:tcW w:type="dxa" w:w="785"/>
          </w:tcPr>
          <w:p>
            <w:r>
              <w:t>0.77%</w:t>
            </w:r>
          </w:p>
        </w:tc>
        <w:tc>
          <w:tcPr>
            <w:tcW w:type="dxa" w:w="785"/>
          </w:tcPr>
          <w:p>
            <w:r>
              <w:t>147.36</w:t>
            </w:r>
          </w:p>
        </w:tc>
        <w:tc>
          <w:tcPr>
            <w:tcW w:type="dxa" w:w="785"/>
          </w:tcPr>
          <w:p>
            <w:r>
              <w:t>0.72%</w:t>
            </w:r>
          </w:p>
        </w:tc>
        <w:tc>
          <w:tcPr>
            <w:tcW w:type="dxa" w:w="785"/>
          </w:tcPr>
          <w:p>
            <w:r>
              <w:t>106.12</w:t>
            </w:r>
          </w:p>
        </w:tc>
        <w:tc>
          <w:tcPr>
            <w:tcW w:type="dxa" w:w="785"/>
          </w:tcPr>
          <w:p>
            <w:r>
              <w:t>0.77%</w:t>
            </w:r>
          </w:p>
        </w:tc>
        <w:tc>
          <w:tcPr>
            <w:tcW w:type="dxa" w:w="785"/>
          </w:tcPr>
          <w:p>
            <w:r>
              <w:t>230.22</w:t>
            </w:r>
          </w:p>
        </w:tc>
        <w:tc>
          <w:tcPr>
            <w:tcW w:type="dxa" w:w="785"/>
          </w:tcPr>
          <w:p>
            <w:r>
              <w:t>2.19%</w:t>
            </w:r>
          </w:p>
        </w:tc>
      </w:tr>
    </w:tbl>
    <w:p/>
    <w:p>
      <w:r>
        <w:t>#Information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pPr>
        <w:pStyle w:val="BodyText"/>
      </w:pPr>
    </w:p>
    <w:p>
      <w:r>
        <w:t>For further details, see “Restated Financial Statements – Note 31: Related Party Transaction” on page 331.</w:t>
      </w:r>
    </w:p>
    <w:p>
      <w:pPr>
        <w:pStyle w:val="Heading3"/>
      </w:pPr>
      <w:r>
        <w:t>Financing arrangements</w:t>
      </w:r>
    </w:p>
    <w:p>
      <w:pPr>
        <w:pStyle w:val="BodyText"/>
      </w:pPr>
      <w:r>
        <w:t>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pPr>
        <w:pStyle w:val="Heading3"/>
      </w:pPr>
      <w:r>
        <w:t>Weighted average price at which the specified securities were acquired by our Promoter and the Promoter Selling Shareholders in the last one year preceding the date of this Red Herring Prospectus</w:t>
      </w:r>
    </w:p>
    <w:p>
      <w:pPr>
        <w:pStyle w:val="BodyText"/>
      </w:pPr>
      <w:r>
        <w:t>The weighted average price at which the specified securities were acquired by our Promoters and the Promoter Selling Shareholders in the last one year preceding the date of this Red Herring Prospectus is given below:</w:t>
      </w:r>
    </w:p>
    <w:p>
      <w:pPr>
        <w:pStyle w:val="BodyText"/>
      </w:pP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of the Promoter</w:t>
            </w:r>
          </w:p>
        </w:tc>
        <w:tc>
          <w:tcPr>
            <w:tcW w:type="dxa" w:w="2880"/>
          </w:tcPr>
          <w:p>
            <w:r>
              <w:t>Number of Equity Shares of face value of ₹5 acquired</w:t>
            </w:r>
          </w:p>
        </w:tc>
        <w:tc>
          <w:tcPr>
            <w:tcW w:type="dxa" w:w="2880"/>
          </w:tcPr>
          <w:p>
            <w:r>
              <w:t>Weighted average price of acquisition per Equity Shares (1)# (in ₹)</w:t>
            </w:r>
          </w:p>
        </w:tc>
      </w:tr>
      <w:tr>
        <w:tc>
          <w:tcPr>
            <w:tcW w:type="dxa" w:w="2880"/>
          </w:tcPr>
          <w:p>
            <w:r>
              <w:t>Anjali Rao</w:t>
            </w:r>
          </w:p>
        </w:tc>
        <w:tc>
          <w:tcPr>
            <w:tcW w:type="dxa" w:w="2880"/>
          </w:tcPr>
          <w:p>
            <w:r>
              <w:t>26,437,554</w:t>
            </w:r>
          </w:p>
        </w:tc>
        <w:tc>
          <w:tcPr>
            <w:tcW w:type="dxa" w:w="2880"/>
          </w:tcPr>
          <w:p>
            <w:r>
              <w:t>0.00</w:t>
            </w:r>
          </w:p>
        </w:tc>
      </w:tr>
    </w:tbl>
    <w:p>
      <w:pPr>
        <w:pStyle w:val="BodyText"/>
      </w:pP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of the Promoter</w:t>
            </w:r>
          </w:p>
        </w:tc>
        <w:tc>
          <w:tcPr>
            <w:tcW w:type="dxa" w:w="2880"/>
          </w:tcPr>
          <w:p>
            <w:r>
              <w:t>Number of Equity Shares of face value of ₹5 acquired</w:t>
            </w:r>
          </w:p>
        </w:tc>
        <w:tc>
          <w:tcPr>
            <w:tcW w:type="dxa" w:w="2880"/>
          </w:tcPr>
          <w:p>
            <w:r>
              <w:t>Weighted average price of acquisition per Equity Shares (1)# (in ₹)</w:t>
            </w:r>
          </w:p>
        </w:tc>
      </w:tr>
      <w:tr>
        <w:tc>
          <w:tcPr>
            <w:tcW w:type="dxa" w:w="2880"/>
          </w:tcPr>
          <w:p>
            <w:r>
              <w:t>Robert Johnson</w:t>
            </w:r>
          </w:p>
        </w:tc>
        <w:tc>
          <w:tcPr>
            <w:tcW w:type="dxa" w:w="2880"/>
          </w:tcPr>
          <w:p>
            <w:r>
              <w:t>7,312,437</w:t>
            </w:r>
          </w:p>
        </w:tc>
        <w:tc>
          <w:tcPr>
            <w:tcW w:type="dxa" w:w="2880"/>
          </w:tcPr>
          <w:p>
            <w:r>
              <w:t>0.00</w:t>
            </w:r>
          </w:p>
        </w:tc>
      </w:tr>
      <w:tr>
        <w:tc>
          <w:tcPr>
            <w:tcW w:type="dxa" w:w="2880"/>
          </w:tcPr>
          <w:p>
            <w:r>
              <w:t>Neha Verma</w:t>
            </w:r>
          </w:p>
        </w:tc>
        <w:tc>
          <w:tcPr>
            <w:tcW w:type="dxa" w:w="2880"/>
          </w:tcPr>
          <w:p>
            <w:r>
              <w:t>11,249,865</w:t>
            </w:r>
          </w:p>
        </w:tc>
        <w:tc>
          <w:tcPr>
            <w:tcW w:type="dxa" w:w="2880"/>
          </w:tcPr>
          <w:p>
            <w:r>
              <w:t>0.00</w:t>
            </w:r>
          </w:p>
        </w:tc>
      </w:tr>
      <w:tr>
        <w:tc>
          <w:tcPr>
            <w:tcW w:type="dxa" w:w="2880"/>
          </w:tcPr>
          <w:p>
            <w:r>
              <w:t>James Miller</w:t>
            </w:r>
          </w:p>
        </w:tc>
        <w:tc>
          <w:tcPr>
            <w:tcW w:type="dxa" w:w="2880"/>
          </w:tcPr>
          <w:p>
            <w:r>
              <w:t>11,249,865</w:t>
            </w:r>
          </w:p>
        </w:tc>
        <w:tc>
          <w:tcPr>
            <w:tcW w:type="dxa" w:w="2880"/>
          </w:tcPr>
          <w:p>
            <w:r>
              <w:t>0.00</w:t>
            </w:r>
          </w:p>
        </w:tc>
      </w:tr>
      <w:tr>
        <w:tc>
          <w:tcPr>
            <w:tcW w:type="dxa" w:w="2880"/>
          </w:tcPr>
          <w:p>
            <w:r>
              <w:t>Peter Parker</w:t>
            </w:r>
          </w:p>
        </w:tc>
        <w:tc>
          <w:tcPr>
            <w:tcW w:type="dxa" w:w="2880"/>
          </w:tcPr>
          <w:p>
            <w:r>
              <w:t>100</w:t>
            </w:r>
          </w:p>
        </w:tc>
        <w:tc>
          <w:tcPr>
            <w:tcW w:type="dxa" w:w="2880"/>
          </w:tcPr>
          <w:p>
            <w:r>
              <w:t>530.00</w:t>
            </w:r>
          </w:p>
        </w:tc>
      </w:tr>
      <w:tr>
        <w:tc>
          <w:tcPr>
            <w:tcW w:type="dxa" w:w="2880"/>
          </w:tcPr>
          <w:p>
            <w:r>
              <w:t>Granite Logistics LLP</w:t>
            </w:r>
          </w:p>
        </w:tc>
        <w:tc>
          <w:tcPr>
            <w:tcW w:type="dxa" w:w="2880"/>
          </w:tcPr>
          <w:p>
            <w:r>
              <w:t>10</w:t>
            </w:r>
          </w:p>
        </w:tc>
        <w:tc>
          <w:tcPr>
            <w:tcW w:type="dxa" w:w="2880"/>
          </w:tcPr>
          <w:p>
            <w:r>
              <w:t>0.00</w:t>
            </w:r>
          </w:p>
        </w:tc>
      </w:tr>
      <w:tr>
        <w:tc>
          <w:tcPr>
            <w:tcW w:type="dxa" w:w="2880"/>
          </w:tcPr>
          <w:p>
            <w:r>
              <w:t>Falcon Capital Limited</w:t>
            </w:r>
          </w:p>
        </w:tc>
        <w:tc>
          <w:tcPr>
            <w:tcW w:type="dxa" w:w="2880"/>
          </w:tcPr>
          <w:p>
            <w:r>
              <w:t>10</w:t>
            </w:r>
          </w:p>
        </w:tc>
        <w:tc>
          <w:tcPr>
            <w:tcW w:type="dxa" w:w="2880"/>
          </w:tcPr>
          <w:p>
            <w:r>
              <w:t>0.00</w:t>
            </w:r>
          </w:p>
        </w:tc>
      </w:tr>
      <w:tr>
        <w:tc>
          <w:tcPr>
            <w:tcW w:type="dxa" w:w="2880"/>
          </w:tcPr>
          <w:p>
            <w:r>
              <w:t>Evergreen Textiles Private Limited</w:t>
            </w:r>
          </w:p>
        </w:tc>
        <w:tc>
          <w:tcPr>
            <w:tcW w:type="dxa" w:w="2880"/>
          </w:tcPr>
          <w:p>
            <w:r>
              <w:t>10</w:t>
            </w:r>
          </w:p>
        </w:tc>
        <w:tc>
          <w:tcPr>
            <w:tcW w:type="dxa" w:w="2880"/>
          </w:tcPr>
          <w:p>
            <w:r>
              <w:t>0.00</w:t>
            </w:r>
          </w:p>
        </w:tc>
      </w:tr>
      <w:tr>
        <w:tc>
          <w:tcPr>
            <w:tcW w:type="dxa" w:w="2880"/>
          </w:tcPr>
          <w:p>
            <w:r>
              <w:t>Delta Fabrication Limited</w:t>
            </w:r>
          </w:p>
        </w:tc>
        <w:tc>
          <w:tcPr>
            <w:tcW w:type="dxa" w:w="2880"/>
          </w:tcPr>
          <w:p>
            <w:r>
              <w:t>10</w:t>
            </w:r>
          </w:p>
        </w:tc>
        <w:tc>
          <w:tcPr>
            <w:tcW w:type="dxa" w:w="2880"/>
          </w:tcPr>
          <w:p>
            <w:r>
              <w:t>0.00</w:t>
            </w:r>
          </w:p>
        </w:tc>
      </w:tr>
      <w:tr>
        <w:tc>
          <w:tcPr>
            <w:tcW w:type="dxa" w:w="2880"/>
          </w:tcPr>
          <w:p>
            <w:r>
              <w:t>Crestline Holdings LLP</w:t>
            </w:r>
          </w:p>
        </w:tc>
        <w:tc>
          <w:tcPr>
            <w:tcW w:type="dxa" w:w="2880"/>
          </w:tcPr>
          <w:p>
            <w:r>
              <w:t>10</w:t>
            </w:r>
          </w:p>
        </w:tc>
        <w:tc>
          <w:tcPr>
            <w:tcW w:type="dxa" w:w="2880"/>
          </w:tcPr>
          <w:p>
            <w:r>
              <w:t>0.00</w:t>
            </w:r>
          </w:p>
        </w:tc>
      </w:tr>
      <w:tr>
        <w:tc>
          <w:tcPr>
            <w:tcW w:type="dxa" w:w="2880"/>
          </w:tcPr>
          <w:p>
            <w:r>
              <w:t>Bluewave Industries Pvt. Ltd.</w:t>
            </w:r>
          </w:p>
        </w:tc>
        <w:tc>
          <w:tcPr>
            <w:tcW w:type="dxa" w:w="2880"/>
          </w:tcPr>
          <w:p>
            <w:r>
              <w:t>10</w:t>
            </w:r>
          </w:p>
        </w:tc>
        <w:tc>
          <w:tcPr>
            <w:tcW w:type="dxa" w:w="2880"/>
          </w:tcPr>
          <w:p>
            <w:r>
              <w:t>0.00</w:t>
            </w:r>
          </w:p>
        </w:tc>
      </w:tr>
    </w:tbl>
    <w:p/>
    <w:p>
      <w:r>
        <w:t>Note: Number of Equity shares and cost of acquisition has been adjusted for subsequent sale/transfers made based on the average cost of the acquisition.</w:t>
      </w:r>
    </w:p>
    <w:p>
      <w:r>
        <w:t>*Also, the Promoter Selling Shareholder</w:t>
      </w:r>
    </w:p>
    <w:p>
      <w:r>
        <w:t>#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p>
    <w:p>
      <w:r>
        <w:t>(1) As certified by Kirtane &amp; Horizon Chemicals Limited, Chartered Accountants, our Statutory Auditors, by way of their certificate dated December 10, 2025.</w:t>
      </w:r>
    </w:p>
    <w:p>
      <w:pPr>
        <w:pStyle w:val="Heading3"/>
      </w:pPr>
      <w:r>
        <w:t>Weighted average cost of acquisition of all shares transacted in last one year, 18 months and three years preceding the date of this Red Herring Prospectus</w:t>
      </w:r>
    </w:p>
    <w:p>
      <w:pPr>
        <w:pStyle w:val="BodyText"/>
      </w:pPr>
      <w:r>
        <w:t>The weighted average price for all equity shares acquired in the last one year, eighteen months and three years preceding the date of this Red Herring Prospectus is mentioned below:</w:t>
      </w: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Weighted average cost of acquisition (in ₹)*#</w:t>
            </w:r>
          </w:p>
        </w:tc>
        <w:tc>
          <w:tcPr>
            <w:tcW w:type="dxa" w:w="2160"/>
          </w:tcPr>
          <w:p>
            <w:r>
              <w:t>Cap Price is ‘x’ times the weighted average cost of acquisition**</w:t>
            </w:r>
          </w:p>
        </w:tc>
        <w:tc>
          <w:tcPr>
            <w:tcW w:type="dxa" w:w="2160"/>
          </w:tcPr>
          <w:p>
            <w:r>
              <w:t>Range of acquisition price per Equity Share of face value of ₹5: lowest price – highest price (in ₹)#</w:t>
            </w:r>
          </w:p>
        </w:tc>
      </w:tr>
      <w:tr>
        <w:tc>
          <w:tcPr>
            <w:tcW w:type="dxa" w:w="2160"/>
          </w:tcPr>
          <w:p>
            <w:r>
              <w:t>Last one year</w:t>
            </w:r>
          </w:p>
        </w:tc>
        <w:tc>
          <w:tcPr>
            <w:tcW w:type="dxa" w:w="2160"/>
          </w:tcPr>
          <w:p>
            <w:r>
              <w:t>384.01</w:t>
            </w:r>
          </w:p>
        </w:tc>
        <w:tc>
          <w:tcPr>
            <w:tcW w:type="dxa" w:w="2160"/>
          </w:tcPr>
          <w:p>
            <w:r>
              <w:t>To be updated upon finalization of the price band.</w:t>
            </w:r>
          </w:p>
        </w:tc>
        <w:tc>
          <w:tcPr>
            <w:tcW w:type="dxa" w:w="2160"/>
          </w:tcPr>
          <w:p>
            <w:r>
              <w:t>0.00 – 530.00</w:t>
            </w:r>
          </w:p>
        </w:tc>
      </w:tr>
      <w:tr>
        <w:tc>
          <w:tcPr>
            <w:tcW w:type="dxa" w:w="2160"/>
          </w:tcPr>
          <w:p>
            <w:r>
              <w:t>Last trailing 18 months</w:t>
            </w:r>
          </w:p>
        </w:tc>
        <w:tc>
          <w:tcPr>
            <w:tcW w:type="dxa" w:w="2160"/>
          </w:tcPr>
          <w:p>
            <w:r>
              <w:t>384.01</w:t>
            </w:r>
          </w:p>
        </w:tc>
        <w:tc>
          <w:tcPr>
            <w:tcW w:type="dxa" w:w="2160"/>
          </w:tcPr>
          <w:p>
            <w:r>
              <w:t>To be updated upon finalization of the price band.</w:t>
            </w:r>
          </w:p>
        </w:tc>
        <w:tc>
          <w:tcPr>
            <w:tcW w:type="dxa" w:w="2160"/>
          </w:tcPr>
          <w:p>
            <w:r>
              <w:t>0.00 – 530.00</w:t>
            </w:r>
          </w:p>
        </w:tc>
      </w:tr>
      <w:tr>
        <w:tc>
          <w:tcPr>
            <w:tcW w:type="dxa" w:w="2160"/>
          </w:tcPr>
          <w:p>
            <w:r>
              <w:t>Last three years</w:t>
            </w:r>
          </w:p>
        </w:tc>
        <w:tc>
          <w:tcPr>
            <w:tcW w:type="dxa" w:w="2160"/>
          </w:tcPr>
          <w:p>
            <w:r>
              <w:t>384.01</w:t>
            </w:r>
          </w:p>
        </w:tc>
        <w:tc>
          <w:tcPr>
            <w:tcW w:type="dxa" w:w="2160"/>
          </w:tcPr>
          <w:p>
            <w:r>
              <w:t>To be updated upon finalization of the price band.</w:t>
            </w:r>
          </w:p>
        </w:tc>
        <w:tc>
          <w:tcPr>
            <w:tcW w:type="dxa" w:w="2160"/>
          </w:tcPr>
          <w:p>
            <w:r>
              <w:t>0.00 – 530.00</w:t>
            </w:r>
          </w:p>
        </w:tc>
      </w:tr>
    </w:tbl>
    <w:p>
      <w:pPr>
        <w:pStyle w:val="BodyText"/>
      </w:pPr>
    </w:p>
    <w:p>
      <w:r>
        <w:t>*</w:t>
        <w:tab/>
        <w:t>As certified by Kirtane &amp; Horizon Chemicals Limited, Chartered Accountants, our Statutory Auditors, by way of their certificate dated December 10, 2025.</w:t>
      </w:r>
    </w:p>
    <w:p>
      <w:r>
        <w:t>**  To be updated in the Prospectus.</w:t>
      </w:r>
    </w:p>
    <w:p>
      <w:r>
        <w:t>#</w:t>
        <w:tab/>
        <w:t>Impact of bonus and sub-division of shares have been taken only on transactions that have been transacted during the last 1 year, trailing 18 months and last 3 years.</w:t>
      </w:r>
    </w:p>
    <w:p>
      <w:pPr>
        <w:pStyle w:val="BodyText"/>
      </w:pPr>
    </w:p>
    <w:p>
      <w:pPr>
        <w:pStyle w:val="Heading3"/>
      </w:pPr>
      <w:r>
        <w:t>Average cost of acquisition of Equity Shares by our Promoters and the Promoter Selling Shareholders</w:t>
      </w:r>
    </w:p>
    <w:p>
      <w:pPr>
        <w:pStyle w:val="BodyText"/>
      </w:pPr>
      <w:r>
        <w:t>The average cost of acquisition of Equity Shares by our Promoters and the Promoter Selling Shareholders as on the date of this Red Herring Prospectus, is as set forth below:</w:t>
      </w:r>
    </w:p>
    <w:p>
      <w:pPr>
        <w:pStyle w:val="BodyText"/>
      </w:pP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of Promoter</w:t>
            </w:r>
          </w:p>
        </w:tc>
        <w:tc>
          <w:tcPr>
            <w:tcW w:type="dxa" w:w="2880"/>
          </w:tcPr>
          <w:p>
            <w:r>
              <w:t>Number of Equity Shares held of face value of ₹5 each</w:t>
            </w:r>
          </w:p>
        </w:tc>
        <w:tc>
          <w:tcPr>
            <w:tcW w:type="dxa" w:w="2880"/>
          </w:tcPr>
          <w:p>
            <w:r>
              <w:t>Average cost per Equity Share of face values of ₹5 each** (₹)</w:t>
            </w:r>
          </w:p>
        </w:tc>
      </w:tr>
      <w:tr>
        <w:tc>
          <w:tcPr>
            <w:tcW w:type="dxa" w:w="2880"/>
          </w:tcPr>
          <w:p>
            <w:r>
              <w:t>Anjali Rao</w:t>
            </w:r>
          </w:p>
        </w:tc>
        <w:tc>
          <w:tcPr>
            <w:tcW w:type="dxa" w:w="2880"/>
          </w:tcPr>
          <w:p>
            <w:r>
              <w:t>26,704,570</w:t>
            </w:r>
          </w:p>
        </w:tc>
        <w:tc>
          <w:tcPr>
            <w:tcW w:type="dxa" w:w="2880"/>
          </w:tcPr>
          <w:p>
            <w:r>
              <w:t>1.36</w:t>
            </w:r>
          </w:p>
        </w:tc>
      </w:tr>
      <w:tr>
        <w:tc>
          <w:tcPr>
            <w:tcW w:type="dxa" w:w="2880"/>
          </w:tcPr>
          <w:p>
            <w:r>
              <w:t>Robert Johnson</w:t>
            </w:r>
          </w:p>
        </w:tc>
        <w:tc>
          <w:tcPr>
            <w:tcW w:type="dxa" w:w="2880"/>
          </w:tcPr>
          <w:p>
            <w:r>
              <w:t>7,386,270</w:t>
            </w:r>
          </w:p>
        </w:tc>
        <w:tc>
          <w:tcPr>
            <w:tcW w:type="dxa" w:w="2880"/>
          </w:tcPr>
          <w:p>
            <w:r>
              <w:t>1.51</w:t>
            </w:r>
          </w:p>
        </w:tc>
      </w:tr>
      <w:tr>
        <w:tc>
          <w:tcPr>
            <w:tcW w:type="dxa" w:w="2880"/>
          </w:tcPr>
          <w:p>
            <w:r>
              <w:t>Neha Verma</w:t>
            </w:r>
          </w:p>
        </w:tc>
        <w:tc>
          <w:tcPr>
            <w:tcW w:type="dxa" w:w="2880"/>
          </w:tcPr>
          <w:p>
            <w:r>
              <w:t>10,907,771</w:t>
            </w:r>
          </w:p>
        </w:tc>
        <w:tc>
          <w:tcPr>
            <w:tcW w:type="dxa" w:w="2880"/>
          </w:tcPr>
          <w:p>
            <w:r>
              <w:t>1.41</w:t>
            </w:r>
          </w:p>
        </w:tc>
      </w:tr>
      <w:tr>
        <w:tc>
          <w:tcPr>
            <w:tcW w:type="dxa" w:w="2880"/>
          </w:tcPr>
          <w:p>
            <w:r>
              <w:t>James Miller</w:t>
            </w:r>
          </w:p>
        </w:tc>
        <w:tc>
          <w:tcPr>
            <w:tcW w:type="dxa" w:w="2880"/>
          </w:tcPr>
          <w:p>
            <w:r>
              <w:t>10,907,771</w:t>
            </w:r>
          </w:p>
        </w:tc>
        <w:tc>
          <w:tcPr>
            <w:tcW w:type="dxa" w:w="2880"/>
          </w:tcPr>
          <w:p>
            <w:r>
              <w:t>1.35</w:t>
            </w:r>
          </w:p>
        </w:tc>
      </w:tr>
      <w:tr>
        <w:tc>
          <w:tcPr>
            <w:tcW w:type="dxa" w:w="2880"/>
          </w:tcPr>
          <w:p>
            <w:r>
              <w:t>Peter Parker</w:t>
            </w:r>
          </w:p>
        </w:tc>
        <w:tc>
          <w:tcPr>
            <w:tcW w:type="dxa" w:w="2880"/>
          </w:tcPr>
          <w:p>
            <w:r>
              <w:t>100</w:t>
            </w:r>
          </w:p>
        </w:tc>
        <w:tc>
          <w:tcPr>
            <w:tcW w:type="dxa" w:w="2880"/>
          </w:tcPr>
          <w:p>
            <w:r>
              <w:t>530.00</w:t>
            </w:r>
          </w:p>
        </w:tc>
      </w:tr>
      <w:tr>
        <w:tc>
          <w:tcPr>
            <w:tcW w:type="dxa" w:w="2880"/>
          </w:tcPr>
          <w:p>
            <w:r>
              <w:t>Granite Logistics LLP</w:t>
            </w:r>
          </w:p>
        </w:tc>
        <w:tc>
          <w:tcPr>
            <w:tcW w:type="dxa" w:w="2880"/>
          </w:tcPr>
          <w:p>
            <w:r>
              <w:t>10</w:t>
            </w:r>
          </w:p>
        </w:tc>
        <w:tc>
          <w:tcPr>
            <w:tcW w:type="dxa" w:w="2880"/>
          </w:tcPr>
          <w:p>
            <w:r>
              <w:t>0.00</w:t>
            </w:r>
          </w:p>
        </w:tc>
      </w:tr>
      <w:tr>
        <w:tc>
          <w:tcPr>
            <w:tcW w:type="dxa" w:w="2880"/>
          </w:tcPr>
          <w:p>
            <w:r>
              <w:t>Falcon Capital Limited</w:t>
            </w:r>
          </w:p>
        </w:tc>
        <w:tc>
          <w:tcPr>
            <w:tcW w:type="dxa" w:w="2880"/>
          </w:tcPr>
          <w:p>
            <w:r>
              <w:t>10</w:t>
            </w:r>
          </w:p>
        </w:tc>
        <w:tc>
          <w:tcPr>
            <w:tcW w:type="dxa" w:w="2880"/>
          </w:tcPr>
          <w:p>
            <w:r>
              <w:t>0.00</w:t>
            </w:r>
          </w:p>
        </w:tc>
      </w:tr>
      <w:tr>
        <w:tc>
          <w:tcPr>
            <w:tcW w:type="dxa" w:w="2880"/>
          </w:tcPr>
          <w:p>
            <w:r>
              <w:t>Evergreen Textiles Private Limited</w:t>
            </w:r>
          </w:p>
        </w:tc>
        <w:tc>
          <w:tcPr>
            <w:tcW w:type="dxa" w:w="2880"/>
          </w:tcPr>
          <w:p>
            <w:r>
              <w:t>10</w:t>
            </w:r>
          </w:p>
        </w:tc>
        <w:tc>
          <w:tcPr>
            <w:tcW w:type="dxa" w:w="2880"/>
          </w:tcPr>
          <w:p>
            <w:r>
              <w:t>0.00</w:t>
            </w:r>
          </w:p>
        </w:tc>
      </w:tr>
      <w:tr>
        <w:tc>
          <w:tcPr>
            <w:tcW w:type="dxa" w:w="2880"/>
          </w:tcPr>
          <w:p>
            <w:r>
              <w:t>Delta Fabrication Limited</w:t>
            </w:r>
          </w:p>
        </w:tc>
        <w:tc>
          <w:tcPr>
            <w:tcW w:type="dxa" w:w="2880"/>
          </w:tcPr>
          <w:p>
            <w:r>
              <w:t>10</w:t>
            </w:r>
          </w:p>
        </w:tc>
        <w:tc>
          <w:tcPr>
            <w:tcW w:type="dxa" w:w="2880"/>
          </w:tcPr>
          <w:p>
            <w:r>
              <w:t>0.00</w:t>
            </w:r>
          </w:p>
        </w:tc>
      </w:tr>
      <w:tr>
        <w:tc>
          <w:tcPr>
            <w:tcW w:type="dxa" w:w="2880"/>
          </w:tcPr>
          <w:p>
            <w:r>
              <w:t>Crestline Holdings LLP</w:t>
            </w:r>
          </w:p>
        </w:tc>
        <w:tc>
          <w:tcPr>
            <w:tcW w:type="dxa" w:w="2880"/>
          </w:tcPr>
          <w:p>
            <w:r>
              <w:t>10</w:t>
            </w:r>
          </w:p>
        </w:tc>
        <w:tc>
          <w:tcPr>
            <w:tcW w:type="dxa" w:w="2880"/>
          </w:tcPr>
          <w:p>
            <w:r>
              <w:t>0.00</w:t>
            </w:r>
          </w:p>
        </w:tc>
      </w:tr>
      <w:tr>
        <w:tc>
          <w:tcPr>
            <w:tcW w:type="dxa" w:w="2880"/>
          </w:tcPr>
          <w:p>
            <w:r>
              <w:t>Bluewave Industries Pvt. Ltd.</w:t>
            </w:r>
          </w:p>
        </w:tc>
        <w:tc>
          <w:tcPr>
            <w:tcW w:type="dxa" w:w="2880"/>
          </w:tcPr>
          <w:p>
            <w:r>
              <w:t>10</w:t>
            </w:r>
          </w:p>
        </w:tc>
        <w:tc>
          <w:tcPr>
            <w:tcW w:type="dxa" w:w="2880"/>
          </w:tcPr>
          <w:p>
            <w:r>
              <w:t>0.00</w:t>
            </w:r>
          </w:p>
        </w:tc>
      </w:tr>
    </w:tbl>
    <w:p>
      <w:pPr>
        <w:pStyle w:val="BodyText"/>
      </w:pPr>
    </w:p>
    <w:p>
      <w:r>
        <w:t>Note: Number of Equity shares and cost of acquisition has been adjusted for subsequent sale/transfers made based on the average cost of the acquisition.</w:t>
      </w:r>
    </w:p>
    <w:p>
      <w:r>
        <w:t>**  As certified by Kirtane &amp; Horizon Chemicals Limited, Chartered Accountants, our Statutory Auditors, by way of their certificate dated December 10, 2025.</w:t>
      </w:r>
    </w:p>
    <w:p>
      <w:r>
        <w:t>*</w:t>
        <w:tab/>
        <w:t>Also, Promoter Selling Shareholders.</w:t>
      </w:r>
    </w:p>
    <w:p>
      <w:pPr>
        <w:pStyle w:val="Heading3"/>
      </w:pPr>
      <w:r>
        <w:t>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w:t>
      </w:r>
    </w:p>
    <w:p>
      <w:pPr>
        <w:pStyle w:val="BodyText"/>
      </w:pPr>
      <w: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Name of Shareholder</w:t>
            </w:r>
          </w:p>
        </w:tc>
        <w:tc>
          <w:tcPr>
            <w:tcW w:type="dxa" w:w="1728"/>
          </w:tcPr>
          <w:p>
            <w:r>
              <w:t>Date of acquisition</w:t>
            </w:r>
          </w:p>
        </w:tc>
        <w:tc>
          <w:tcPr>
            <w:tcW w:type="dxa" w:w="1728"/>
          </w:tcPr>
          <w:p>
            <w:r>
              <w:t>Number of equity shares acquired</w:t>
            </w:r>
          </w:p>
        </w:tc>
        <w:tc>
          <w:tcPr>
            <w:tcW w:type="dxa" w:w="1728"/>
          </w:tcPr>
          <w:p>
            <w:r>
              <w:t>Face value (₹)</w:t>
            </w:r>
          </w:p>
        </w:tc>
        <w:tc>
          <w:tcPr>
            <w:tcW w:type="dxa" w:w="1728"/>
          </w:tcPr>
          <w:p>
            <w:r>
              <w:t>Acquisition price per equity share^ (in ₹)</w:t>
            </w:r>
          </w:p>
        </w:tc>
      </w:tr>
      <w:tr>
        <w:tc>
          <w:tcPr>
            <w:tcW w:type="dxa" w:w="8640"/>
            <w:gridSpan w:val="5"/>
          </w:tcPr>
          <w:p>
            <w:r>
              <w:t>Promoters</w:t>
            </w:r>
          </w:p>
        </w:tc>
      </w:tr>
      <w:tr>
        <w:tc>
          <w:tcPr>
            <w:tcW w:type="dxa" w:w="1728"/>
          </w:tcPr>
          <w:p>
            <w:r>
              <w:t>Sarah Brown</w:t>
            </w:r>
          </w:p>
        </w:tc>
        <w:tc>
          <w:tcPr>
            <w:tcW w:type="dxa" w:w="1728"/>
          </w:tcPr>
          <w:p>
            <w:r>
              <w:t>February 21, 2025</w:t>
            </w:r>
          </w:p>
        </w:tc>
        <w:tc>
          <w:tcPr>
            <w:tcW w:type="dxa" w:w="1728"/>
          </w:tcPr>
          <w:p>
            <w:r>
              <w:t>21,363,680</w:t>
            </w:r>
          </w:p>
        </w:tc>
        <w:tc>
          <w:tcPr>
            <w:tcW w:type="dxa" w:w="1728"/>
          </w:tcPr>
          <w:p>
            <w:r>
              <w:t>5</w:t>
            </w:r>
          </w:p>
        </w:tc>
        <w:tc>
          <w:tcPr>
            <w:tcW w:type="dxa" w:w="1728"/>
          </w:tcPr>
          <w:p>
            <w:r>
              <w:t>0.00</w:t>
            </w:r>
          </w:p>
        </w:tc>
      </w:tr>
      <w:tr>
        <w:tc>
          <w:tcPr>
            <w:tcW w:type="dxa" w:w="1728"/>
          </w:tcPr>
          <w:p>
            <w:r>
              <w:t>David Wilson</w:t>
            </w:r>
          </w:p>
        </w:tc>
        <w:tc>
          <w:tcPr>
            <w:tcW w:type="dxa" w:w="1728"/>
          </w:tcPr>
          <w:p>
            <w:r>
              <w:t>February 21, 2025</w:t>
            </w:r>
          </w:p>
        </w:tc>
        <w:tc>
          <w:tcPr>
            <w:tcW w:type="dxa" w:w="1728"/>
          </w:tcPr>
          <w:p>
            <w:r>
              <w:t>5,909,040</w:t>
            </w:r>
          </w:p>
        </w:tc>
        <w:tc>
          <w:tcPr>
            <w:tcW w:type="dxa" w:w="1728"/>
          </w:tcPr>
          <w:p>
            <w:r>
              <w:t>5</w:t>
            </w:r>
          </w:p>
        </w:tc>
        <w:tc>
          <w:tcPr>
            <w:tcW w:type="dxa" w:w="1728"/>
          </w:tcPr>
          <w:p>
            <w:r>
              <w:t>0.00</w:t>
            </w:r>
          </w:p>
        </w:tc>
      </w:tr>
      <w:tr>
        <w:tc>
          <w:tcPr>
            <w:tcW w:type="dxa" w:w="1728"/>
          </w:tcPr>
          <w:p>
            <w:r>
              <w:t>Anjali Rao</w:t>
            </w:r>
          </w:p>
        </w:tc>
        <w:tc>
          <w:tcPr>
            <w:tcW w:type="dxa" w:w="1728"/>
          </w:tcPr>
          <w:p>
            <w:r>
              <w:t>February 21, 2025</w:t>
            </w:r>
          </w:p>
        </w:tc>
        <w:tc>
          <w:tcPr>
            <w:tcW w:type="dxa" w:w="1728"/>
          </w:tcPr>
          <w:p>
            <w:r>
              <w:t>9,090,800</w:t>
            </w:r>
          </w:p>
        </w:tc>
        <w:tc>
          <w:tcPr>
            <w:tcW w:type="dxa" w:w="1728"/>
          </w:tcPr>
          <w:p>
            <w:r>
              <w:t>5</w:t>
            </w:r>
          </w:p>
        </w:tc>
        <w:tc>
          <w:tcPr>
            <w:tcW w:type="dxa" w:w="1728"/>
          </w:tcPr>
          <w:p>
            <w:r>
              <w:t>0.00</w:t>
            </w:r>
          </w:p>
        </w:tc>
      </w:tr>
      <w:tr>
        <w:tc>
          <w:tcPr>
            <w:tcW w:type="dxa" w:w="1728"/>
          </w:tcPr>
          <w:p>
            <w:r>
              <w:t>Robert Johnson</w:t>
            </w:r>
          </w:p>
        </w:tc>
        <w:tc>
          <w:tcPr>
            <w:tcW w:type="dxa" w:w="1728"/>
          </w:tcPr>
          <w:p>
            <w:r>
              <w:t>February 21, 2025</w:t>
            </w:r>
          </w:p>
        </w:tc>
        <w:tc>
          <w:tcPr>
            <w:tcW w:type="dxa" w:w="1728"/>
          </w:tcPr>
          <w:p>
            <w:r>
              <w:t>9,090,800</w:t>
            </w:r>
          </w:p>
        </w:tc>
        <w:tc>
          <w:tcPr>
            <w:tcW w:type="dxa" w:w="1728"/>
          </w:tcPr>
          <w:p>
            <w:r>
              <w:t>5</w:t>
            </w:r>
          </w:p>
        </w:tc>
        <w:tc>
          <w:tcPr>
            <w:tcW w:type="dxa" w:w="1728"/>
          </w:tcPr>
          <w:p>
            <w:r>
              <w:t>0.00</w:t>
            </w:r>
          </w:p>
        </w:tc>
      </w:tr>
      <w:tr>
        <w:tc>
          <w:tcPr>
            <w:tcW w:type="dxa" w:w="1728"/>
          </w:tcPr>
          <w:p>
            <w:r>
              <w:t>Neha Verma</w:t>
            </w:r>
          </w:p>
        </w:tc>
        <w:tc>
          <w:tcPr>
            <w:tcW w:type="dxa" w:w="1728"/>
          </w:tcPr>
          <w:p>
            <w:r>
              <w:t>December 17, 2024</w:t>
            </w:r>
          </w:p>
        </w:tc>
        <w:tc>
          <w:tcPr>
            <w:tcW w:type="dxa" w:w="1728"/>
          </w:tcPr>
          <w:p>
            <w:r>
              <w:t>1</w:t>
            </w:r>
          </w:p>
        </w:tc>
        <w:tc>
          <w:tcPr>
            <w:tcW w:type="dxa" w:w="1728"/>
          </w:tcPr>
          <w:p>
            <w:r>
              <w:t>100</w:t>
            </w:r>
          </w:p>
        </w:tc>
        <w:tc>
          <w:tcPr>
            <w:tcW w:type="dxa" w:w="1728"/>
          </w:tcPr>
          <w:p>
            <w:r>
              <w:t>53,000.00</w:t>
            </w:r>
          </w:p>
        </w:tc>
      </w:tr>
      <w:tr>
        <w:tc>
          <w:tcPr>
            <w:tcW w:type="dxa" w:w="1728"/>
          </w:tcPr>
          <w:p>
            <w:r>
              <w:t>James Miller</w:t>
            </w:r>
          </w:p>
        </w:tc>
        <w:tc>
          <w:tcPr>
            <w:tcW w:type="dxa" w:w="1728"/>
          </w:tcPr>
          <w:p>
            <w:r>
              <w:t>February 21, 2025</w:t>
            </w:r>
          </w:p>
        </w:tc>
        <w:tc>
          <w:tcPr>
            <w:tcW w:type="dxa" w:w="1728"/>
          </w:tcPr>
          <w:p>
            <w:r>
              <w:t>80</w:t>
            </w:r>
          </w:p>
        </w:tc>
        <w:tc>
          <w:tcPr>
            <w:tcW w:type="dxa" w:w="1728"/>
          </w:tcPr>
          <w:p>
            <w:r>
              <w:t>5</w:t>
            </w:r>
          </w:p>
        </w:tc>
        <w:tc>
          <w:tcPr>
            <w:tcW w:type="dxa" w:w="1728"/>
          </w:tcPr>
          <w:p>
            <w:r>
              <w:t>0.00</w:t>
            </w:r>
          </w:p>
        </w:tc>
      </w:tr>
      <w:tr>
        <w:tc>
          <w:tcPr>
            <w:tcW w:type="dxa" w:w="1728"/>
          </w:tcPr>
          <w:p>
            <w:r>
              <w:t>Northgate Bank Limited</w:t>
            </w:r>
          </w:p>
        </w:tc>
        <w:tc>
          <w:tcPr>
            <w:tcW w:type="dxa" w:w="1728"/>
          </w:tcPr>
          <w:p>
            <w:r>
              <w:t>May 7, 2025</w:t>
            </w:r>
          </w:p>
        </w:tc>
        <w:tc>
          <w:tcPr>
            <w:tcW w:type="dxa" w:w="1728"/>
          </w:tcPr>
          <w:p>
            <w:r>
              <w:t>10</w:t>
            </w:r>
          </w:p>
        </w:tc>
        <w:tc>
          <w:tcPr>
            <w:tcW w:type="dxa" w:w="1728"/>
          </w:tcPr>
          <w:p>
            <w:r>
              <w:t>5</w:t>
            </w:r>
          </w:p>
        </w:tc>
        <w:tc>
          <w:tcPr>
            <w:tcW w:type="dxa" w:w="1728"/>
          </w:tcPr>
          <w:p>
            <w:r>
              <w:t>0.00</w:t>
            </w:r>
          </w:p>
        </w:tc>
      </w:tr>
      <w:tr>
        <w:tc>
          <w:tcPr>
            <w:tcW w:type="dxa" w:w="1728"/>
          </w:tcPr>
          <w:p>
            <w:r>
              <w:t>Oakridge Pharma LLP</w:t>
            </w:r>
          </w:p>
        </w:tc>
        <w:tc>
          <w:tcPr>
            <w:tcW w:type="dxa" w:w="1728"/>
          </w:tcPr>
          <w:p>
            <w:r>
              <w:t>May 7, 2025</w:t>
            </w:r>
          </w:p>
        </w:tc>
        <w:tc>
          <w:tcPr>
            <w:tcW w:type="dxa" w:w="1728"/>
          </w:tcPr>
          <w:p>
            <w:r>
              <w:t>10</w:t>
            </w:r>
          </w:p>
        </w:tc>
        <w:tc>
          <w:tcPr>
            <w:tcW w:type="dxa" w:w="1728"/>
          </w:tcPr>
          <w:p>
            <w:r>
              <w:t>5</w:t>
            </w:r>
          </w:p>
        </w:tc>
        <w:tc>
          <w:tcPr>
            <w:tcW w:type="dxa" w:w="1728"/>
          </w:tcPr>
          <w:p>
            <w:r>
              <w:t>0.00</w:t>
            </w:r>
          </w:p>
        </w:tc>
      </w:tr>
      <w:tr>
        <w:tc>
          <w:tcPr>
            <w:tcW w:type="dxa" w:w="1728"/>
          </w:tcPr>
          <w:p>
            <w:r>
              <w:t>Pinnacle Steel Limited</w:t>
            </w:r>
          </w:p>
        </w:tc>
        <w:tc>
          <w:tcPr>
            <w:tcW w:type="dxa" w:w="1728"/>
          </w:tcPr>
          <w:p>
            <w:r>
              <w:t>May 7, 2025</w:t>
            </w:r>
          </w:p>
        </w:tc>
        <w:tc>
          <w:tcPr>
            <w:tcW w:type="dxa" w:w="1728"/>
          </w:tcPr>
          <w:p>
            <w:r>
              <w:t>10</w:t>
            </w:r>
          </w:p>
        </w:tc>
        <w:tc>
          <w:tcPr>
            <w:tcW w:type="dxa" w:w="1728"/>
          </w:tcPr>
          <w:p>
            <w:r>
              <w:t>5</w:t>
            </w:r>
          </w:p>
        </w:tc>
        <w:tc>
          <w:tcPr>
            <w:tcW w:type="dxa" w:w="1728"/>
          </w:tcPr>
          <w:p>
            <w:r>
              <w:t>0.00</w:t>
            </w:r>
          </w:p>
        </w:tc>
      </w:tr>
      <w:tr>
        <w:tc>
          <w:tcPr>
            <w:tcW w:type="dxa" w:w="1728"/>
          </w:tcPr>
          <w:p>
            <w:r>
              <w:t>Quantum Softech Private Limited</w:t>
            </w:r>
          </w:p>
        </w:tc>
        <w:tc>
          <w:tcPr>
            <w:tcW w:type="dxa" w:w="1728"/>
          </w:tcPr>
          <w:p>
            <w:r>
              <w:t>May 8, 2025</w:t>
            </w:r>
          </w:p>
        </w:tc>
        <w:tc>
          <w:tcPr>
            <w:tcW w:type="dxa" w:w="1728"/>
          </w:tcPr>
          <w:p>
            <w:r>
              <w:t>10</w:t>
            </w:r>
          </w:p>
        </w:tc>
        <w:tc>
          <w:tcPr>
            <w:tcW w:type="dxa" w:w="1728"/>
          </w:tcPr>
          <w:p>
            <w:r>
              <w:t>5</w:t>
            </w:r>
          </w:p>
        </w:tc>
        <w:tc>
          <w:tcPr>
            <w:tcW w:type="dxa" w:w="1728"/>
          </w:tcPr>
          <w:p>
            <w:r>
              <w:t>0.00</w:t>
            </w:r>
          </w:p>
        </w:tc>
      </w:tr>
      <w:tr>
        <w:tc>
          <w:tcPr>
            <w:tcW w:type="dxa" w:w="1728"/>
          </w:tcPr>
          <w:p>
            <w:r>
              <w:t>Riverside Exports Limited</w:t>
            </w:r>
          </w:p>
        </w:tc>
        <w:tc>
          <w:tcPr>
            <w:tcW w:type="dxa" w:w="1728"/>
          </w:tcPr>
          <w:p>
            <w:r>
              <w:t>May 8, 2025</w:t>
            </w:r>
          </w:p>
        </w:tc>
        <w:tc>
          <w:tcPr>
            <w:tcW w:type="dxa" w:w="1728"/>
          </w:tcPr>
          <w:p>
            <w:r>
              <w:t>10</w:t>
            </w:r>
          </w:p>
        </w:tc>
        <w:tc>
          <w:tcPr>
            <w:tcW w:type="dxa" w:w="1728"/>
          </w:tcPr>
          <w:p>
            <w:r>
              <w:t>5</w:t>
            </w:r>
          </w:p>
        </w:tc>
        <w:tc>
          <w:tcPr>
            <w:tcW w:type="dxa" w:w="1728"/>
          </w:tcPr>
          <w:p>
            <w:r>
              <w:t>0.00</w:t>
            </w:r>
          </w:p>
        </w:tc>
      </w:tr>
      <w:tr>
        <w:tc>
          <w:tcPr>
            <w:tcW w:type="dxa" w:w="1728"/>
          </w:tcPr>
          <w:p>
            <w:r>
              <w:t>Summit Realty LLP</w:t>
            </w:r>
          </w:p>
        </w:tc>
        <w:tc>
          <w:tcPr>
            <w:tcW w:type="dxa" w:w="1728"/>
          </w:tcPr>
          <w:p>
            <w:r>
              <w:t>May 7, 2025</w:t>
            </w:r>
          </w:p>
        </w:tc>
        <w:tc>
          <w:tcPr>
            <w:tcW w:type="dxa" w:w="1728"/>
          </w:tcPr>
          <w:p>
            <w:r>
              <w:t>10</w:t>
            </w:r>
          </w:p>
        </w:tc>
        <w:tc>
          <w:tcPr>
            <w:tcW w:type="dxa" w:w="1728"/>
          </w:tcPr>
          <w:p>
            <w:r>
              <w:t>5</w:t>
            </w:r>
          </w:p>
        </w:tc>
        <w:tc>
          <w:tcPr>
            <w:tcW w:type="dxa" w:w="1728"/>
          </w:tcPr>
          <w:p>
            <w:r>
              <w:t>0.00</w:t>
            </w:r>
          </w:p>
        </w:tc>
      </w:tr>
      <w:tr>
        <w:tc>
          <w:tcPr>
            <w:tcW w:type="dxa" w:w="8640"/>
            <w:gridSpan w:val="5"/>
          </w:tcPr>
          <w:p>
            <w:r>
              <w:t>Promoter Group</w:t>
            </w:r>
          </w:p>
        </w:tc>
      </w:tr>
      <w:tr>
        <w:tc>
          <w:tcPr>
            <w:tcW w:type="dxa" w:w="1728"/>
          </w:tcPr>
          <w:p>
            <w:r>
              <w:t>Kavita Iyer</w:t>
            </w:r>
          </w:p>
        </w:tc>
        <w:tc>
          <w:tcPr>
            <w:tcW w:type="dxa" w:w="1728"/>
          </w:tcPr>
          <w:p>
            <w:r>
              <w:t>December 17, 2024</w:t>
            </w:r>
          </w:p>
        </w:tc>
        <w:tc>
          <w:tcPr>
            <w:tcW w:type="dxa" w:w="1728"/>
          </w:tcPr>
          <w:p>
            <w:r>
              <w:t>1</w:t>
            </w:r>
          </w:p>
        </w:tc>
        <w:tc>
          <w:tcPr>
            <w:tcW w:type="dxa" w:w="1728"/>
          </w:tcPr>
          <w:p>
            <w:r>
              <w:t>100</w:t>
            </w:r>
          </w:p>
        </w:tc>
        <w:tc>
          <w:tcPr>
            <w:tcW w:type="dxa" w:w="1728"/>
          </w:tcPr>
          <w:p>
            <w:r>
              <w:t>53,000.00</w:t>
            </w:r>
          </w:p>
        </w:tc>
      </w:tr>
      <w:tr>
        <w:tc>
          <w:tcPr>
            <w:tcW w:type="dxa" w:w="1728"/>
          </w:tcPr>
          <w:p>
            <w:r>
              <w:t>Daniel Garcia</w:t>
            </w:r>
          </w:p>
        </w:tc>
        <w:tc>
          <w:tcPr>
            <w:tcW w:type="dxa" w:w="1728"/>
          </w:tcPr>
          <w:p>
            <w:r>
              <w:t>February 21, 2025</w:t>
            </w:r>
          </w:p>
        </w:tc>
        <w:tc>
          <w:tcPr>
            <w:tcW w:type="dxa" w:w="1728"/>
          </w:tcPr>
          <w:p>
            <w:r>
              <w:t>80</w:t>
            </w:r>
          </w:p>
        </w:tc>
        <w:tc>
          <w:tcPr>
            <w:tcW w:type="dxa" w:w="1728"/>
          </w:tcPr>
          <w:p>
            <w:r>
              <w:t>5</w:t>
            </w:r>
          </w:p>
        </w:tc>
        <w:tc>
          <w:tcPr>
            <w:tcW w:type="dxa" w:w="1728"/>
          </w:tcPr>
          <w:p>
            <w:r>
              <w:t>N.A.</w:t>
            </w:r>
          </w:p>
        </w:tc>
      </w:tr>
      <w:tr>
        <w:tc>
          <w:tcPr>
            <w:tcW w:type="dxa" w:w="1728"/>
          </w:tcPr>
          <w:p>
            <w:r>
              <w:t>Sunita Menon</w:t>
            </w:r>
          </w:p>
        </w:tc>
        <w:tc>
          <w:tcPr>
            <w:tcW w:type="dxa" w:w="1728"/>
          </w:tcPr>
          <w:p>
            <w:r>
              <w:t>December 17, 2024</w:t>
            </w:r>
          </w:p>
        </w:tc>
        <w:tc>
          <w:tcPr>
            <w:tcW w:type="dxa" w:w="1728"/>
          </w:tcPr>
          <w:p>
            <w:r>
              <w:t>1</w:t>
            </w:r>
          </w:p>
        </w:tc>
        <w:tc>
          <w:tcPr>
            <w:tcW w:type="dxa" w:w="1728"/>
          </w:tcPr>
          <w:p>
            <w:r>
              <w:t>100</w:t>
            </w:r>
          </w:p>
        </w:tc>
        <w:tc>
          <w:tcPr>
            <w:tcW w:type="dxa" w:w="1728"/>
          </w:tcPr>
          <w:p>
            <w:r>
              <w:t>53,000.00</w:t>
            </w:r>
          </w:p>
        </w:tc>
      </w:tr>
      <w:tr>
        <w:tc>
          <w:tcPr>
            <w:tcW w:type="dxa" w:w="1728"/>
          </w:tcPr>
          <w:p>
            <w:r>
              <w:t>Steven Clark</w:t>
            </w:r>
          </w:p>
        </w:tc>
        <w:tc>
          <w:tcPr>
            <w:tcW w:type="dxa" w:w="1728"/>
          </w:tcPr>
          <w:p>
            <w:r>
              <w:t>February 21, 2025</w:t>
            </w:r>
          </w:p>
        </w:tc>
        <w:tc>
          <w:tcPr>
            <w:tcW w:type="dxa" w:w="1728"/>
          </w:tcPr>
          <w:p>
            <w:r>
              <w:t>80</w:t>
            </w:r>
          </w:p>
        </w:tc>
        <w:tc>
          <w:tcPr>
            <w:tcW w:type="dxa" w:w="1728"/>
          </w:tcPr>
          <w:p>
            <w:r>
              <w:t>5</w:t>
            </w:r>
          </w:p>
        </w:tc>
        <w:tc>
          <w:tcPr>
            <w:tcW w:type="dxa" w:w="1728"/>
          </w:tcPr>
          <w:p>
            <w:r>
              <w:t>N.A.</w:t>
            </w:r>
          </w:p>
        </w:tc>
      </w:tr>
    </w:tbl>
    <w:p>
      <w:pPr>
        <w:pStyle w:val="BodyText"/>
      </w:pPr>
    </w:p>
    <w:p>
      <w:r>
        <w:t>#</w:t>
        <w:tab/>
        <w:t>As certified by Kirtane &amp; Horizon Chemicals Limited, Chartered Accountants, our Statutory Auditors, by way of their certificate dated December 10, 2025.</w:t>
      </w:r>
    </w:p>
    <w:p>
      <w:r>
        <w:t>*</w:t>
        <w:tab/>
        <w:t>Also, a Promoter Selling Shareholder.</w:t>
      </w:r>
    </w:p>
    <w:p>
      <w:r>
        <w:t>&amp;</w:t>
        <w:tab/>
        <w:t>Shareholder entitled with right to nominate directors or any other rights</w:t>
      </w:r>
    </w:p>
    <w:p>
      <w:r>
        <w:t>^</w:t>
        <w:tab/>
        <w:t>Bonus shares issued in the ratio of 4:1.</w:t>
      </w:r>
    </w:p>
    <w:p>
      <w:pPr>
        <w:pStyle w:val="BodyText"/>
      </w:pPr>
    </w:p>
    <w:p>
      <w:r>
        <w:t>Secondary Transfer of Equity Shares of face value of ₹5 each in the form of Gifts</w:t>
      </w: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Transferee</w:t>
            </w:r>
          </w:p>
        </w:tc>
        <w:tc>
          <w:tcPr>
            <w:tcW w:type="dxa" w:w="2160"/>
          </w:tcPr>
          <w:p>
            <w:r>
              <w:t>Transferor</w:t>
            </w:r>
          </w:p>
        </w:tc>
        <w:tc>
          <w:tcPr>
            <w:tcW w:type="dxa" w:w="2160"/>
          </w:tcPr>
          <w:p>
            <w:r>
              <w:t>Equity Shares of face value of ₹5 each</w:t>
            </w:r>
          </w:p>
        </w:tc>
        <w:tc>
          <w:tcPr>
            <w:tcW w:type="dxa" w:w="2160"/>
          </w:tcPr>
          <w:p>
            <w:r>
              <w:t>Date</w:t>
            </w:r>
          </w:p>
        </w:tc>
      </w:tr>
      <w:tr>
        <w:tc>
          <w:tcPr>
            <w:tcW w:type="dxa" w:w="2160"/>
          </w:tcPr>
          <w:p>
            <w:r>
              <w:t>Granite Logistics LLP</w:t>
            </w:r>
          </w:p>
        </w:tc>
        <w:tc>
          <w:tcPr>
            <w:tcW w:type="dxa" w:w="2160"/>
          </w:tcPr>
          <w:p>
            <w:r>
              <w:t>Emily Davis</w:t>
            </w:r>
          </w:p>
        </w:tc>
        <w:tc>
          <w:tcPr>
            <w:tcW w:type="dxa" w:w="2160"/>
          </w:tcPr>
          <w:p>
            <w:r>
              <w:t>10</w:t>
            </w:r>
          </w:p>
        </w:tc>
        <w:tc>
          <w:tcPr>
            <w:tcW w:type="dxa" w:w="2160"/>
          </w:tcPr>
          <w:p>
            <w:r>
              <w:t>May 7, 2025</w:t>
            </w:r>
          </w:p>
        </w:tc>
      </w:tr>
      <w:tr>
        <w:tc>
          <w:tcPr>
            <w:tcW w:type="dxa" w:w="2160"/>
          </w:tcPr>
          <w:p>
            <w:r>
              <w:t>Evergreen Textiles Private Limited</w:t>
            </w:r>
          </w:p>
        </w:tc>
        <w:tc>
          <w:tcPr>
            <w:tcW w:type="dxa" w:w="2160"/>
          </w:tcPr>
          <w:p>
            <w:r>
              <w:t>Emily Davis</w:t>
            </w:r>
          </w:p>
        </w:tc>
        <w:tc>
          <w:tcPr>
            <w:tcW w:type="dxa" w:w="2160"/>
          </w:tcPr>
          <w:p>
            <w:r>
              <w:t>10</w:t>
            </w:r>
          </w:p>
        </w:tc>
        <w:tc>
          <w:tcPr>
            <w:tcW w:type="dxa" w:w="2160"/>
          </w:tcPr>
          <w:p>
            <w:r>
              <w:t>May 7, 2025</w:t>
            </w:r>
          </w:p>
        </w:tc>
      </w:tr>
      <w:tr>
        <w:tc>
          <w:tcPr>
            <w:tcW w:type="dxa" w:w="2160"/>
          </w:tcPr>
          <w:p>
            <w:r>
              <w:t>Falcon Capital Limited</w:t>
            </w:r>
          </w:p>
        </w:tc>
        <w:tc>
          <w:tcPr>
            <w:tcW w:type="dxa" w:w="2160"/>
          </w:tcPr>
          <w:p>
            <w:r>
              <w:t>Emily Davis</w:t>
            </w:r>
          </w:p>
        </w:tc>
        <w:tc>
          <w:tcPr>
            <w:tcW w:type="dxa" w:w="2160"/>
          </w:tcPr>
          <w:p>
            <w:r>
              <w:t>10</w:t>
            </w:r>
          </w:p>
        </w:tc>
        <w:tc>
          <w:tcPr>
            <w:tcW w:type="dxa" w:w="2160"/>
          </w:tcPr>
          <w:p>
            <w:r>
              <w:t>May 7, 2025</w:t>
            </w:r>
          </w:p>
        </w:tc>
      </w:tr>
      <w:tr>
        <w:tc>
          <w:tcPr>
            <w:tcW w:type="dxa" w:w="2160"/>
          </w:tcPr>
          <w:p>
            <w:r>
              <w:t>Bluewave Industries Pvt. Ltd.</w:t>
            </w:r>
          </w:p>
        </w:tc>
        <w:tc>
          <w:tcPr>
            <w:tcW w:type="dxa" w:w="2160"/>
          </w:tcPr>
          <w:p>
            <w:r>
              <w:t>Michael Chen</w:t>
            </w:r>
          </w:p>
        </w:tc>
        <w:tc>
          <w:tcPr>
            <w:tcW w:type="dxa" w:w="2160"/>
          </w:tcPr>
          <w:p>
            <w:r>
              <w:t>10</w:t>
            </w:r>
          </w:p>
        </w:tc>
        <w:tc>
          <w:tcPr>
            <w:tcW w:type="dxa" w:w="2160"/>
          </w:tcPr>
          <w:p>
            <w:r>
              <w:t>May 7, 2025</w:t>
            </w:r>
          </w:p>
        </w:tc>
      </w:tr>
      <w:tr>
        <w:tc>
          <w:tcPr>
            <w:tcW w:type="dxa" w:w="2160"/>
          </w:tcPr>
          <w:p>
            <w:r>
              <w:t>Crestline Holdings LLP</w:t>
            </w:r>
          </w:p>
        </w:tc>
        <w:tc>
          <w:tcPr>
            <w:tcW w:type="dxa" w:w="2160"/>
          </w:tcPr>
          <w:p>
            <w:r>
              <w:t>Michael Chen</w:t>
            </w:r>
          </w:p>
        </w:tc>
        <w:tc>
          <w:tcPr>
            <w:tcW w:type="dxa" w:w="2160"/>
          </w:tcPr>
          <w:p>
            <w:r>
              <w:t>10</w:t>
            </w:r>
          </w:p>
        </w:tc>
        <w:tc>
          <w:tcPr>
            <w:tcW w:type="dxa" w:w="2160"/>
          </w:tcPr>
          <w:p>
            <w:r>
              <w:t>May 8, 2025</w:t>
            </w:r>
          </w:p>
        </w:tc>
      </w:tr>
      <w:tr>
        <w:tc>
          <w:tcPr>
            <w:tcW w:type="dxa" w:w="2160"/>
          </w:tcPr>
          <w:p>
            <w:r>
              <w:t>Delta Fabrication Limited</w:t>
            </w:r>
          </w:p>
        </w:tc>
        <w:tc>
          <w:tcPr>
            <w:tcW w:type="dxa" w:w="2160"/>
          </w:tcPr>
          <w:p>
            <w:r>
              <w:t>Michael Chen</w:t>
            </w:r>
          </w:p>
        </w:tc>
        <w:tc>
          <w:tcPr>
            <w:tcW w:type="dxa" w:w="2160"/>
          </w:tcPr>
          <w:p>
            <w:r>
              <w:t>10</w:t>
            </w:r>
          </w:p>
        </w:tc>
        <w:tc>
          <w:tcPr>
            <w:tcW w:type="dxa" w:w="2160"/>
          </w:tcPr>
          <w:p>
            <w:r>
              <w:t>May 8, 2025</w:t>
            </w:r>
          </w:p>
        </w:tc>
      </w:tr>
    </w:tbl>
    <w:p>
      <w:pPr>
        <w:pStyle w:val="BodyText"/>
      </w:pPr>
    </w:p>
    <w:p>
      <w:pPr>
        <w:pStyle w:val="Heading3"/>
      </w:pPr>
      <w:r>
        <w:t>Details of pre-IPO placement</w:t>
      </w:r>
    </w:p>
    <w:p>
      <w:pPr>
        <w:pStyle w:val="BodyText"/>
      </w:pPr>
      <w:r>
        <w:t>Our Company has not undertaken any pre-IPO placement between the date of the Draft Red Herring Prospectus and the date of this Red Herring Prospectus.</w:t>
      </w:r>
    </w:p>
    <w:p>
      <w:pPr>
        <w:pStyle w:val="Heading3"/>
      </w:pPr>
      <w:r>
        <w:t>Issue of equity shares of our Company for consideration other than cash in the last one year</w:t>
      </w:r>
    </w:p>
    <w:p>
      <w:r>
        <w:t>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w:t>
      </w:r>
    </w:p>
    <w:p>
      <w:pPr>
        <w:pStyle w:val="Heading3"/>
      </w:pPr>
      <w:r>
        <w:t>Split or consolidation of equity shares in the last one year</w:t>
      </w:r>
    </w:p>
    <w:p>
      <w:pPr>
        <w:pStyle w:val="BodyText"/>
      </w:pPr>
      <w:r>
        <w:t>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r>
        <w:t>₹100 each was split into 1,13,63,640 Equity Shares of ₹5 each. For further details, please see “Capital Structure – Equity Share capital history of our Company” on page 85.</w:t>
      </w:r>
    </w:p>
    <w:p>
      <w:pPr>
        <w:pStyle w:val="Heading3"/>
      </w:pPr>
      <w:r>
        <w:t>Exemption from complying with any provisions of securities laws, if any, granted by the SEBI</w:t>
      </w:r>
    </w:p>
    <w:p>
      <w:pPr>
        <w:pStyle w:val="BodyText"/>
      </w:pPr>
      <w:r>
        <w:t>Our Company has not applied for or received any exemption by SEBI from complying with any provisions of securities laws including the SEBI ICDR Regulations, as on the date of this Red Herring Prospectus.</w:t>
      </w:r>
    </w:p>
    <w:p>
      <w:pPr>
        <w:pStyle w:val="BodyText"/>
      </w:pPr>
    </w:p>
    <w:p>
      <w:pPr>
        <w:pStyle w:val="Heading2"/>
      </w:pPr>
      <w:r>
        <w:t>SECTION II: RISK FACTORS</w:t>
      </w:r>
    </w:p>
    <w:p>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r>
        <w:t>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w:t>
      </w:r>
    </w:p>
    <w:p>
      <w:r>
        <w:t>Unless stated otherwise, industry and market data used in this section has been obtained or derived from the report titled “Industry Research Report on Magnet Winding Wires Market in India” dated November 26, 2025 (“CARE Report”), prepared and issued by Care Analytics and Pinnacle Steel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2"/>
      </w:pPr>
      <w:r>
        <w:t>INTERNAL RISKS</w:t>
      </w:r>
    </w:p>
    <w:p>
      <w:pPr>
        <w:pStyle w:val="Heading4"/>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Text"/>
      </w:pPr>
      <w:r>
        <w:t>We have derived a significant portion of our revenue from operations from our top 10 customers. The table below sets forth details of our revenue from operations generated from top 10 customers in each of the period/ Fiscals indicated:</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Revenue from top 10 customers (₹ in million)</w:t>
            </w:r>
          </w:p>
        </w:tc>
        <w:tc>
          <w:tcPr>
            <w:tcW w:type="dxa" w:w="1728"/>
          </w:tcPr>
          <w:p>
            <w:r>
              <w:t>3,015.48</w:t>
            </w:r>
          </w:p>
        </w:tc>
        <w:tc>
          <w:tcPr>
            <w:tcW w:type="dxa" w:w="1728"/>
          </w:tcPr>
          <w:p>
            <w:r>
              <w:t>10,130.32</w:t>
            </w:r>
          </w:p>
        </w:tc>
        <w:tc>
          <w:tcPr>
            <w:tcW w:type="dxa" w:w="1728"/>
          </w:tcPr>
          <w:p>
            <w:r>
              <w:t>7,896.04</w:t>
            </w:r>
          </w:p>
        </w:tc>
        <w:tc>
          <w:tcPr>
            <w:tcW w:type="dxa" w:w="1728"/>
          </w:tcPr>
          <w:p>
            <w:r>
              <w:t>6,191.05</w:t>
            </w:r>
          </w:p>
        </w:tc>
      </w:tr>
    </w:tbl>
    <w:p>
      <w:pPr>
        <w:pStyle w:val="BodyText"/>
      </w:pP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Revenue from top 10 customers as a percentage of total revenue from operations (%)</w:t>
            </w:r>
          </w:p>
        </w:tc>
        <w:tc>
          <w:tcPr>
            <w:tcW w:type="dxa" w:w="1728"/>
          </w:tcPr>
          <w:p>
            <w:r>
              <w:t>53.97%</w:t>
            </w:r>
          </w:p>
        </w:tc>
        <w:tc>
          <w:tcPr>
            <w:tcW w:type="dxa" w:w="1728"/>
          </w:tcPr>
          <w:p>
            <w:r>
              <w:t>52.54%</w:t>
            </w:r>
          </w:p>
        </w:tc>
        <w:tc>
          <w:tcPr>
            <w:tcW w:type="dxa" w:w="1728"/>
          </w:tcPr>
          <w:p>
            <w:r>
              <w:t>57.10%</w:t>
            </w:r>
          </w:p>
        </w:tc>
        <w:tc>
          <w:tcPr>
            <w:tcW w:type="dxa" w:w="1728"/>
          </w:tcPr>
          <w:p>
            <w:r>
              <w:t>58.99%</w:t>
            </w:r>
          </w:p>
        </w:tc>
      </w:tr>
      <w:tr>
        <w:tc>
          <w:tcPr>
            <w:tcW w:type="dxa" w:w="1728"/>
          </w:tcPr>
          <w:p>
            <w:r>
              <w:t>Total revenue from operations</w:t>
            </w:r>
          </w:p>
        </w:tc>
        <w:tc>
          <w:tcPr>
            <w:tcW w:type="dxa" w:w="1728"/>
          </w:tcPr>
          <w:p>
            <w:r>
              <w:t>5,587.12</w:t>
            </w:r>
          </w:p>
        </w:tc>
        <w:tc>
          <w:tcPr>
            <w:tcW w:type="dxa" w:w="1728"/>
          </w:tcPr>
          <w:p>
            <w:r>
              <w:t>19,282.93</w:t>
            </w:r>
          </w:p>
        </w:tc>
        <w:tc>
          <w:tcPr>
            <w:tcW w:type="dxa" w:w="1728"/>
          </w:tcPr>
          <w:p>
            <w:r>
              <w:t>13,828.15</w:t>
            </w:r>
          </w:p>
        </w:tc>
        <w:tc>
          <w:tcPr>
            <w:tcW w:type="dxa" w:w="1728"/>
          </w:tcPr>
          <w:p>
            <w:r>
              <w:t>10,494.60</w:t>
            </w:r>
          </w:p>
        </w:tc>
      </w:tr>
    </w:tbl>
    <w:p/>
    <w:p>
      <w:pPr>
        <w:pStyle w:val="BodyText"/>
      </w:pPr>
    </w:p>
    <w:p>
      <w:pPr>
        <w:pStyle w:val="BodyText"/>
      </w:pPr>
      <w:r>
        <w:t>The table below sets forth the revenue derived from each of our top 10 customers, for the period/ Fiscals indicated:</w:t>
      </w:r>
    </w:p>
    <w:p>
      <w:pPr>
        <w:pStyle w:val="BodyText"/>
      </w:pP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 N</w:t>
              <w:br/>
              <w:t>o.</w:t>
            </w:r>
          </w:p>
        </w:tc>
        <w:tc>
          <w:tcPr>
            <w:tcW w:type="dxa" w:w="864"/>
          </w:tcPr>
          <w:p>
            <w:r>
              <w:t>Various customer s*</w:t>
            </w:r>
          </w:p>
        </w:tc>
        <w:tc>
          <w:tcPr>
            <w:tcW w:type="dxa" w:w="1728"/>
            <w:gridSpan w:val="2"/>
          </w:tcPr>
          <w:p>
            <w:r>
              <w:t>Three-month period ended June 30, 2025</w:t>
            </w:r>
          </w:p>
        </w:tc>
        <w:tc>
          <w:tcPr>
            <w:tcW w:type="dxa" w:w="1728"/>
            <w:gridSpan w:val="2"/>
          </w:tcPr>
          <w:p>
            <w:r>
              <w:t>Fiscal 2025</w:t>
            </w:r>
          </w:p>
        </w:tc>
        <w:tc>
          <w:tcPr>
            <w:tcW w:type="dxa" w:w="1728"/>
            <w:gridSpan w:val="2"/>
          </w:tcPr>
          <w:p>
            <w:r>
              <w:t>Fiscal 2024</w:t>
            </w:r>
          </w:p>
        </w:tc>
        <w:tc>
          <w:tcPr>
            <w:tcW w:type="dxa" w:w="1728"/>
            <w:gridSpan w:val="2"/>
          </w:tcPr>
          <w:p>
            <w:r>
              <w:t>Fiscal 2023</w:t>
            </w:r>
          </w:p>
        </w:tc>
      </w:tr>
      <w:tr>
        <w:tc>
          <w:tcPr>
            <w:tcW w:type="dxa" w:w="864"/>
          </w:tcPr>
          <w:p>
            <w:r>
              <w:t>S. N</w:t>
              <w:br/>
              <w:t>o.</w:t>
            </w:r>
          </w:p>
        </w:tc>
        <w:tc>
          <w:tcPr>
            <w:tcW w:type="dxa" w:w="864"/>
          </w:tcPr>
          <w:p>
            <w:r>
              <w:t>Various customer s*</w:t>
            </w:r>
          </w:p>
        </w:tc>
        <w:tc>
          <w:tcPr>
            <w:tcW w:type="dxa" w:w="864"/>
          </w:tcPr>
          <w:p>
            <w:r>
              <w:t>Amount (₹ in million)</w:t>
            </w:r>
          </w:p>
        </w:tc>
        <w:tc>
          <w:tcPr>
            <w:tcW w:type="dxa" w:w="864"/>
          </w:tcPr>
          <w:p>
            <w:r>
              <w:t>% of revenue from</w:t>
              <w:br/>
              <w:t>operatio ns</w:t>
            </w:r>
          </w:p>
        </w:tc>
        <w:tc>
          <w:tcPr>
            <w:tcW w:type="dxa" w:w="864"/>
          </w:tcPr>
          <w:p>
            <w:r>
              <w:t>Amount (₹</w:t>
              <w:br/>
              <w:t>in million)</w:t>
            </w:r>
          </w:p>
        </w:tc>
        <w:tc>
          <w:tcPr>
            <w:tcW w:type="dxa" w:w="864"/>
          </w:tcPr>
          <w:p>
            <w:r>
              <w:t>% of revenue from operations</w:t>
            </w:r>
          </w:p>
        </w:tc>
        <w:tc>
          <w:tcPr>
            <w:tcW w:type="dxa" w:w="864"/>
          </w:tcPr>
          <w:p>
            <w:r>
              <w:t>Amount (₹ in million)</w:t>
            </w:r>
          </w:p>
        </w:tc>
        <w:tc>
          <w:tcPr>
            <w:tcW w:type="dxa" w:w="864"/>
          </w:tcPr>
          <w:p>
            <w:r>
              <w:t>% of revenue from operations</w:t>
            </w:r>
          </w:p>
        </w:tc>
        <w:tc>
          <w:tcPr>
            <w:tcW w:type="dxa" w:w="864"/>
          </w:tcPr>
          <w:p>
            <w:r>
              <w:t>Amount (₹ in million)</w:t>
            </w:r>
          </w:p>
        </w:tc>
        <w:tc>
          <w:tcPr>
            <w:tcW w:type="dxa" w:w="864"/>
          </w:tcPr>
          <w:p>
            <w:r>
              <w:t>% of revenue from operations</w:t>
            </w:r>
          </w:p>
        </w:tc>
      </w:tr>
      <w:tr>
        <w:tc>
          <w:tcPr>
            <w:tcW w:type="dxa" w:w="864"/>
          </w:tcPr>
          <w:p>
            <w:r>
              <w:t>1.</w:t>
            </w:r>
          </w:p>
        </w:tc>
        <w:tc>
          <w:tcPr>
            <w:tcW w:type="dxa" w:w="864"/>
          </w:tcPr>
          <w:p>
            <w:r>
              <w:t>Customer</w:t>
            </w:r>
          </w:p>
        </w:tc>
        <w:tc>
          <w:tcPr>
            <w:tcW w:type="dxa" w:w="864"/>
          </w:tcPr>
          <w:p>
            <w:r>
              <w:t>660.03</w:t>
            </w:r>
          </w:p>
        </w:tc>
        <w:tc>
          <w:tcPr>
            <w:tcW w:type="dxa" w:w="864"/>
          </w:tcPr>
          <w:p>
            <w:r>
              <w:t>11.81%</w:t>
            </w:r>
          </w:p>
        </w:tc>
        <w:tc>
          <w:tcPr>
            <w:tcW w:type="dxa" w:w="864"/>
          </w:tcPr>
          <w:p>
            <w:r>
              <w:t>1,963.92</w:t>
            </w:r>
          </w:p>
        </w:tc>
        <w:tc>
          <w:tcPr>
            <w:tcW w:type="dxa" w:w="864"/>
          </w:tcPr>
          <w:p>
            <w:r>
              <w:t>10.18%</w:t>
            </w:r>
          </w:p>
        </w:tc>
        <w:tc>
          <w:tcPr>
            <w:tcW w:type="dxa" w:w="864"/>
          </w:tcPr>
          <w:p>
            <w:r>
              <w:t>1,446.66</w:t>
            </w:r>
          </w:p>
        </w:tc>
        <w:tc>
          <w:tcPr>
            <w:tcW w:type="dxa" w:w="864"/>
          </w:tcPr>
          <w:p>
            <w:r>
              <w:t>10.46%</w:t>
            </w:r>
          </w:p>
        </w:tc>
        <w:tc>
          <w:tcPr>
            <w:tcW w:type="dxa" w:w="864"/>
          </w:tcPr>
          <w:p>
            <w:r>
              <w:t>1,303.86</w:t>
            </w:r>
          </w:p>
        </w:tc>
        <w:tc>
          <w:tcPr>
            <w:tcW w:type="dxa" w:w="864"/>
          </w:tcPr>
          <w:p>
            <w:r>
              <w:t>12.42%</w:t>
            </w:r>
          </w:p>
        </w:tc>
      </w:tr>
      <w:tr>
        <w:tc>
          <w:tcPr>
            <w:tcW w:type="dxa" w:w="864"/>
          </w:tcPr>
          <w:p>
            <w:r>
              <w:t>2.</w:t>
            </w:r>
          </w:p>
        </w:tc>
        <w:tc>
          <w:tcPr>
            <w:tcW w:type="dxa" w:w="864"/>
          </w:tcPr>
          <w:p>
            <w:r>
              <w:t>Customer</w:t>
            </w:r>
          </w:p>
        </w:tc>
        <w:tc>
          <w:tcPr>
            <w:tcW w:type="dxa" w:w="864"/>
          </w:tcPr>
          <w:p>
            <w:r>
              <w:t>609.48</w:t>
            </w:r>
          </w:p>
        </w:tc>
        <w:tc>
          <w:tcPr>
            <w:tcW w:type="dxa" w:w="864"/>
          </w:tcPr>
          <w:p>
            <w:r>
              <w:t>10.91%</w:t>
            </w:r>
          </w:p>
        </w:tc>
        <w:tc>
          <w:tcPr>
            <w:tcW w:type="dxa" w:w="864"/>
          </w:tcPr>
          <w:p>
            <w:r>
              <w:t>1,702.54</w:t>
            </w:r>
          </w:p>
        </w:tc>
        <w:tc>
          <w:tcPr>
            <w:tcW w:type="dxa" w:w="864"/>
          </w:tcPr>
          <w:p>
            <w:r>
              <w:t>8.83%</w:t>
            </w:r>
          </w:p>
        </w:tc>
        <w:tc>
          <w:tcPr>
            <w:tcW w:type="dxa" w:w="864"/>
          </w:tcPr>
          <w:p>
            <w:r>
              <w:t>1,396.23</w:t>
            </w:r>
          </w:p>
        </w:tc>
        <w:tc>
          <w:tcPr>
            <w:tcW w:type="dxa" w:w="864"/>
          </w:tcPr>
          <w:p>
            <w:r>
              <w:t>10.10%</w:t>
            </w:r>
          </w:p>
        </w:tc>
        <w:tc>
          <w:tcPr>
            <w:tcW w:type="dxa" w:w="864"/>
          </w:tcPr>
          <w:p>
            <w:r>
              <w:t>765.18</w:t>
            </w:r>
          </w:p>
        </w:tc>
        <w:tc>
          <w:tcPr>
            <w:tcW w:type="dxa" w:w="864"/>
          </w:tcPr>
          <w:p>
            <w:r>
              <w:t>7.29%</w:t>
            </w:r>
          </w:p>
        </w:tc>
      </w:tr>
      <w:tr>
        <w:tc>
          <w:tcPr>
            <w:tcW w:type="dxa" w:w="864"/>
          </w:tcPr>
          <w:p>
            <w:r>
              <w:t>3.</w:t>
            </w:r>
          </w:p>
        </w:tc>
        <w:tc>
          <w:tcPr>
            <w:tcW w:type="dxa" w:w="864"/>
          </w:tcPr>
          <w:p>
            <w:r>
              <w:t>Customer</w:t>
            </w:r>
          </w:p>
        </w:tc>
        <w:tc>
          <w:tcPr>
            <w:tcW w:type="dxa" w:w="864"/>
          </w:tcPr>
          <w:p>
            <w:r>
              <w:t>352.56</w:t>
            </w:r>
          </w:p>
        </w:tc>
        <w:tc>
          <w:tcPr>
            <w:tcW w:type="dxa" w:w="864"/>
          </w:tcPr>
          <w:p>
            <w:r>
              <w:t>6.31%</w:t>
            </w:r>
          </w:p>
        </w:tc>
        <w:tc>
          <w:tcPr>
            <w:tcW w:type="dxa" w:w="864"/>
          </w:tcPr>
          <w:p>
            <w:r>
              <w:t>934.53</w:t>
            </w:r>
          </w:p>
        </w:tc>
        <w:tc>
          <w:tcPr>
            <w:tcW w:type="dxa" w:w="864"/>
          </w:tcPr>
          <w:p>
            <w:r>
              <w:t>4.85%</w:t>
            </w:r>
          </w:p>
        </w:tc>
        <w:tc>
          <w:tcPr>
            <w:tcW w:type="dxa" w:w="864"/>
          </w:tcPr>
          <w:p>
            <w:r>
              <w:t>856.66</w:t>
            </w:r>
          </w:p>
        </w:tc>
        <w:tc>
          <w:tcPr>
            <w:tcW w:type="dxa" w:w="864"/>
          </w:tcPr>
          <w:p>
            <w:r>
              <w:t>6.20%</w:t>
            </w:r>
          </w:p>
        </w:tc>
        <w:tc>
          <w:tcPr>
            <w:tcW w:type="dxa" w:w="864"/>
          </w:tcPr>
          <w:p>
            <w:r>
              <w:t>672.20</w:t>
            </w:r>
          </w:p>
        </w:tc>
        <w:tc>
          <w:tcPr>
            <w:tcW w:type="dxa" w:w="864"/>
          </w:tcPr>
          <w:p>
            <w:r>
              <w:t>6.41%</w:t>
            </w:r>
          </w:p>
        </w:tc>
      </w:tr>
      <w:tr>
        <w:tc>
          <w:tcPr>
            <w:tcW w:type="dxa" w:w="864"/>
          </w:tcPr>
          <w:p>
            <w:r>
              <w:t>4.</w:t>
            </w:r>
          </w:p>
        </w:tc>
        <w:tc>
          <w:tcPr>
            <w:tcW w:type="dxa" w:w="864"/>
          </w:tcPr>
          <w:p>
            <w:r>
              <w:t>Customer</w:t>
            </w:r>
          </w:p>
        </w:tc>
        <w:tc>
          <w:tcPr>
            <w:tcW w:type="dxa" w:w="864"/>
          </w:tcPr>
          <w:p>
            <w:r>
              <w:t>241.41</w:t>
            </w:r>
          </w:p>
        </w:tc>
        <w:tc>
          <w:tcPr>
            <w:tcW w:type="dxa" w:w="864"/>
          </w:tcPr>
          <w:p>
            <w:r>
              <w:t>4.32%</w:t>
            </w:r>
          </w:p>
        </w:tc>
        <w:tc>
          <w:tcPr>
            <w:tcW w:type="dxa" w:w="864"/>
          </w:tcPr>
          <w:p>
            <w:r>
              <w:t>895.21</w:t>
            </w:r>
          </w:p>
        </w:tc>
        <w:tc>
          <w:tcPr>
            <w:tcW w:type="dxa" w:w="864"/>
          </w:tcPr>
          <w:p>
            <w:r>
              <w:t>4.64%</w:t>
            </w:r>
          </w:p>
        </w:tc>
        <w:tc>
          <w:tcPr>
            <w:tcW w:type="dxa" w:w="864"/>
          </w:tcPr>
          <w:p>
            <w:r>
              <w:t>774.13</w:t>
            </w:r>
          </w:p>
        </w:tc>
        <w:tc>
          <w:tcPr>
            <w:tcW w:type="dxa" w:w="864"/>
          </w:tcPr>
          <w:p>
            <w:r>
              <w:t>5.60%</w:t>
            </w:r>
          </w:p>
        </w:tc>
        <w:tc>
          <w:tcPr>
            <w:tcW w:type="dxa" w:w="864"/>
          </w:tcPr>
          <w:p>
            <w:r>
              <w:t>632.42</w:t>
            </w:r>
          </w:p>
        </w:tc>
        <w:tc>
          <w:tcPr>
            <w:tcW w:type="dxa" w:w="864"/>
          </w:tcPr>
          <w:p>
            <w:r>
              <w:t>6.03%</w:t>
            </w:r>
          </w:p>
        </w:tc>
      </w:tr>
      <w:tr>
        <w:tc>
          <w:tcPr>
            <w:tcW w:type="dxa" w:w="864"/>
          </w:tcPr>
          <w:p>
            <w:r>
              <w:t>5.</w:t>
            </w:r>
          </w:p>
        </w:tc>
        <w:tc>
          <w:tcPr>
            <w:tcW w:type="dxa" w:w="864"/>
          </w:tcPr>
          <w:p>
            <w:r>
              <w:t>Customer</w:t>
            </w:r>
          </w:p>
        </w:tc>
        <w:tc>
          <w:tcPr>
            <w:tcW w:type="dxa" w:w="864"/>
          </w:tcPr>
          <w:p>
            <w:r>
              <w:t>227.08</w:t>
            </w:r>
          </w:p>
        </w:tc>
        <w:tc>
          <w:tcPr>
            <w:tcW w:type="dxa" w:w="864"/>
          </w:tcPr>
          <w:p>
            <w:r>
              <w:t>4.06%</w:t>
            </w:r>
          </w:p>
        </w:tc>
        <w:tc>
          <w:tcPr>
            <w:tcW w:type="dxa" w:w="864"/>
          </w:tcPr>
          <w:p>
            <w:r>
              <w:t>873.79</w:t>
            </w:r>
          </w:p>
        </w:tc>
        <w:tc>
          <w:tcPr>
            <w:tcW w:type="dxa" w:w="864"/>
          </w:tcPr>
          <w:p>
            <w:r>
              <w:t>4.53%</w:t>
            </w:r>
          </w:p>
        </w:tc>
        <w:tc>
          <w:tcPr>
            <w:tcW w:type="dxa" w:w="864"/>
          </w:tcPr>
          <w:p>
            <w:r>
              <w:t>758.39</w:t>
            </w:r>
          </w:p>
        </w:tc>
        <w:tc>
          <w:tcPr>
            <w:tcW w:type="dxa" w:w="864"/>
          </w:tcPr>
          <w:p>
            <w:r>
              <w:t>5.48%</w:t>
            </w:r>
          </w:p>
        </w:tc>
        <w:tc>
          <w:tcPr>
            <w:tcW w:type="dxa" w:w="864"/>
          </w:tcPr>
          <w:p>
            <w:r>
              <w:t>606.45</w:t>
            </w:r>
          </w:p>
        </w:tc>
        <w:tc>
          <w:tcPr>
            <w:tcW w:type="dxa" w:w="864"/>
          </w:tcPr>
          <w:p>
            <w:r>
              <w:t>5.78%</w:t>
            </w:r>
          </w:p>
        </w:tc>
      </w:tr>
      <w:tr>
        <w:tc>
          <w:tcPr>
            <w:tcW w:type="dxa" w:w="864"/>
          </w:tcPr>
          <w:p>
            <w:r>
              <w:t>6.</w:t>
            </w:r>
          </w:p>
        </w:tc>
        <w:tc>
          <w:tcPr>
            <w:tcW w:type="dxa" w:w="864"/>
          </w:tcPr>
          <w:p>
            <w:r>
              <w:t>Customer</w:t>
            </w:r>
          </w:p>
        </w:tc>
        <w:tc>
          <w:tcPr>
            <w:tcW w:type="dxa" w:w="864"/>
          </w:tcPr>
          <w:p>
            <w:r>
              <w:t>220.83</w:t>
            </w:r>
          </w:p>
        </w:tc>
        <w:tc>
          <w:tcPr>
            <w:tcW w:type="dxa" w:w="864"/>
          </w:tcPr>
          <w:p>
            <w:r>
              <w:t>3.95%</w:t>
            </w:r>
          </w:p>
        </w:tc>
        <w:tc>
          <w:tcPr>
            <w:tcW w:type="dxa" w:w="864"/>
          </w:tcPr>
          <w:p>
            <w:r>
              <w:t>868.64</w:t>
            </w:r>
          </w:p>
        </w:tc>
        <w:tc>
          <w:tcPr>
            <w:tcW w:type="dxa" w:w="864"/>
          </w:tcPr>
          <w:p>
            <w:r>
              <w:t>4.50%</w:t>
            </w:r>
          </w:p>
        </w:tc>
        <w:tc>
          <w:tcPr>
            <w:tcW w:type="dxa" w:w="864"/>
          </w:tcPr>
          <w:p>
            <w:r>
              <w:t>632.78</w:t>
            </w:r>
          </w:p>
        </w:tc>
        <w:tc>
          <w:tcPr>
            <w:tcW w:type="dxa" w:w="864"/>
          </w:tcPr>
          <w:p>
            <w:r>
              <w:t>4.58%</w:t>
            </w:r>
          </w:p>
        </w:tc>
        <w:tc>
          <w:tcPr>
            <w:tcW w:type="dxa" w:w="864"/>
          </w:tcPr>
          <w:p>
            <w:r>
              <w:t>541.86</w:t>
            </w:r>
          </w:p>
        </w:tc>
        <w:tc>
          <w:tcPr>
            <w:tcW w:type="dxa" w:w="864"/>
          </w:tcPr>
          <w:p>
            <w:r>
              <w:t>5.16%</w:t>
            </w:r>
          </w:p>
        </w:tc>
      </w:tr>
      <w:tr>
        <w:tc>
          <w:tcPr>
            <w:tcW w:type="dxa" w:w="864"/>
          </w:tcPr>
          <w:p>
            <w:r>
              <w:t>7.</w:t>
            </w:r>
          </w:p>
        </w:tc>
        <w:tc>
          <w:tcPr>
            <w:tcW w:type="dxa" w:w="864"/>
          </w:tcPr>
          <w:p>
            <w:r>
              <w:t>Customer</w:t>
            </w:r>
          </w:p>
        </w:tc>
        <w:tc>
          <w:tcPr>
            <w:tcW w:type="dxa" w:w="864"/>
          </w:tcPr>
          <w:p>
            <w:r>
              <w:t>211.66</w:t>
            </w:r>
          </w:p>
        </w:tc>
        <w:tc>
          <w:tcPr>
            <w:tcW w:type="dxa" w:w="864"/>
          </w:tcPr>
          <w:p>
            <w:r>
              <w:t>3.79%</w:t>
            </w:r>
          </w:p>
        </w:tc>
        <w:tc>
          <w:tcPr>
            <w:tcW w:type="dxa" w:w="864"/>
          </w:tcPr>
          <w:p>
            <w:r>
              <w:t>809.87</w:t>
            </w:r>
          </w:p>
        </w:tc>
        <w:tc>
          <w:tcPr>
            <w:tcW w:type="dxa" w:w="864"/>
          </w:tcPr>
          <w:p>
            <w:r>
              <w:t>4.20%</w:t>
            </w:r>
          </w:p>
        </w:tc>
        <w:tc>
          <w:tcPr>
            <w:tcW w:type="dxa" w:w="864"/>
          </w:tcPr>
          <w:p>
            <w:r>
              <w:t>576.64</w:t>
            </w:r>
          </w:p>
        </w:tc>
        <w:tc>
          <w:tcPr>
            <w:tcW w:type="dxa" w:w="864"/>
          </w:tcPr>
          <w:p>
            <w:r>
              <w:t>4.17%</w:t>
            </w:r>
          </w:p>
        </w:tc>
        <w:tc>
          <w:tcPr>
            <w:tcW w:type="dxa" w:w="864"/>
          </w:tcPr>
          <w:p>
            <w:r>
              <w:t>518.98</w:t>
            </w:r>
          </w:p>
        </w:tc>
        <w:tc>
          <w:tcPr>
            <w:tcW w:type="dxa" w:w="864"/>
          </w:tcPr>
          <w:p>
            <w:r>
              <w:t>4.95%</w:t>
            </w:r>
          </w:p>
        </w:tc>
      </w:tr>
      <w:tr>
        <w:tc>
          <w:tcPr>
            <w:tcW w:type="dxa" w:w="864"/>
          </w:tcPr>
          <w:p>
            <w:r>
              <w:t>8.</w:t>
            </w:r>
          </w:p>
        </w:tc>
        <w:tc>
          <w:tcPr>
            <w:tcW w:type="dxa" w:w="864"/>
          </w:tcPr>
          <w:p>
            <w:r>
              <w:t>Customer</w:t>
            </w:r>
          </w:p>
        </w:tc>
        <w:tc>
          <w:tcPr>
            <w:tcW w:type="dxa" w:w="864"/>
          </w:tcPr>
          <w:p>
            <w:r>
              <w:t>172.37</w:t>
            </w:r>
          </w:p>
        </w:tc>
        <w:tc>
          <w:tcPr>
            <w:tcW w:type="dxa" w:w="864"/>
          </w:tcPr>
          <w:p>
            <w:r>
              <w:t>3.09%</w:t>
            </w:r>
          </w:p>
        </w:tc>
        <w:tc>
          <w:tcPr>
            <w:tcW w:type="dxa" w:w="864"/>
          </w:tcPr>
          <w:p>
            <w:r>
              <w:t>763.81</w:t>
            </w:r>
          </w:p>
        </w:tc>
        <w:tc>
          <w:tcPr>
            <w:tcW w:type="dxa" w:w="864"/>
          </w:tcPr>
          <w:p>
            <w:r>
              <w:t>3.96%</w:t>
            </w:r>
          </w:p>
        </w:tc>
        <w:tc>
          <w:tcPr>
            <w:tcW w:type="dxa" w:w="864"/>
          </w:tcPr>
          <w:p>
            <w:r>
              <w:t>517.62</w:t>
            </w:r>
          </w:p>
        </w:tc>
        <w:tc>
          <w:tcPr>
            <w:tcW w:type="dxa" w:w="864"/>
          </w:tcPr>
          <w:p>
            <w:r>
              <w:t>3.74%</w:t>
            </w:r>
          </w:p>
        </w:tc>
        <w:tc>
          <w:tcPr>
            <w:tcW w:type="dxa" w:w="864"/>
          </w:tcPr>
          <w:p>
            <w:r>
              <w:t>396.52</w:t>
            </w:r>
          </w:p>
        </w:tc>
        <w:tc>
          <w:tcPr>
            <w:tcW w:type="dxa" w:w="864"/>
          </w:tcPr>
          <w:p>
            <w:r>
              <w:t>3.78%</w:t>
            </w:r>
          </w:p>
        </w:tc>
      </w:tr>
      <w:tr>
        <w:tc>
          <w:tcPr>
            <w:tcW w:type="dxa" w:w="864"/>
          </w:tcPr>
          <w:p>
            <w:r>
              <w:t>9.</w:t>
            </w:r>
          </w:p>
        </w:tc>
        <w:tc>
          <w:tcPr>
            <w:tcW w:type="dxa" w:w="864"/>
          </w:tcPr>
          <w:p>
            <w:r>
              <w:t>Customer</w:t>
            </w:r>
          </w:p>
        </w:tc>
        <w:tc>
          <w:tcPr>
            <w:tcW w:type="dxa" w:w="864"/>
          </w:tcPr>
          <w:p>
            <w:r>
              <w:t>165.63</w:t>
            </w:r>
          </w:p>
        </w:tc>
        <w:tc>
          <w:tcPr>
            <w:tcW w:type="dxa" w:w="864"/>
          </w:tcPr>
          <w:p>
            <w:r>
              <w:t>2.96%</w:t>
            </w:r>
          </w:p>
        </w:tc>
        <w:tc>
          <w:tcPr>
            <w:tcW w:type="dxa" w:w="864"/>
          </w:tcPr>
          <w:p>
            <w:r>
              <w:t>704.69</w:t>
            </w:r>
          </w:p>
        </w:tc>
        <w:tc>
          <w:tcPr>
            <w:tcW w:type="dxa" w:w="864"/>
          </w:tcPr>
          <w:p>
            <w:r>
              <w:t>3.65%</w:t>
            </w:r>
          </w:p>
        </w:tc>
        <w:tc>
          <w:tcPr>
            <w:tcW w:type="dxa" w:w="864"/>
          </w:tcPr>
          <w:p>
            <w:r>
              <w:t>470.48</w:t>
            </w:r>
          </w:p>
        </w:tc>
        <w:tc>
          <w:tcPr>
            <w:tcW w:type="dxa" w:w="864"/>
          </w:tcPr>
          <w:p>
            <w:r>
              <w:t>3.40%</w:t>
            </w:r>
          </w:p>
        </w:tc>
        <w:tc>
          <w:tcPr>
            <w:tcW w:type="dxa" w:w="864"/>
          </w:tcPr>
          <w:p>
            <w:r>
              <w:t>384.27</w:t>
            </w:r>
          </w:p>
        </w:tc>
        <w:tc>
          <w:tcPr>
            <w:tcW w:type="dxa" w:w="864"/>
          </w:tcPr>
          <w:p>
            <w:r>
              <w:t>3.66%</w:t>
            </w:r>
          </w:p>
        </w:tc>
      </w:tr>
      <w:tr>
        <w:tc>
          <w:tcPr>
            <w:tcW w:type="dxa" w:w="864"/>
          </w:tcPr>
          <w:p>
            <w:r>
              <w:t>10.</w:t>
            </w:r>
          </w:p>
        </w:tc>
        <w:tc>
          <w:tcPr>
            <w:tcW w:type="dxa" w:w="864"/>
          </w:tcPr>
          <w:p>
            <w:r>
              <w:t>Customer</w:t>
            </w:r>
          </w:p>
        </w:tc>
        <w:tc>
          <w:tcPr>
            <w:tcW w:type="dxa" w:w="864"/>
          </w:tcPr>
          <w:p>
            <w:r>
              <w:t>154.43</w:t>
            </w:r>
          </w:p>
        </w:tc>
        <w:tc>
          <w:tcPr>
            <w:tcW w:type="dxa" w:w="864"/>
          </w:tcPr>
          <w:p>
            <w:r>
              <w:t>2.76%</w:t>
            </w:r>
          </w:p>
        </w:tc>
        <w:tc>
          <w:tcPr>
            <w:tcW w:type="dxa" w:w="864"/>
          </w:tcPr>
          <w:p>
            <w:r>
              <w:t>613.30</w:t>
            </w:r>
          </w:p>
        </w:tc>
        <w:tc>
          <w:tcPr>
            <w:tcW w:type="dxa" w:w="864"/>
          </w:tcPr>
          <w:p>
            <w:r>
              <w:t>3.18%</w:t>
            </w:r>
          </w:p>
        </w:tc>
        <w:tc>
          <w:tcPr>
            <w:tcW w:type="dxa" w:w="864"/>
          </w:tcPr>
          <w:p>
            <w:r>
              <w:t>466.46</w:t>
            </w:r>
          </w:p>
        </w:tc>
        <w:tc>
          <w:tcPr>
            <w:tcW w:type="dxa" w:w="864"/>
          </w:tcPr>
          <w:p>
            <w:r>
              <w:t>3.37%</w:t>
            </w:r>
          </w:p>
        </w:tc>
        <w:tc>
          <w:tcPr>
            <w:tcW w:type="dxa" w:w="864"/>
          </w:tcPr>
          <w:p>
            <w:r>
              <w:t>369.31</w:t>
            </w:r>
          </w:p>
        </w:tc>
        <w:tc>
          <w:tcPr>
            <w:tcW w:type="dxa" w:w="864"/>
          </w:tcPr>
          <w:p>
            <w:r>
              <w:t>3.52%</w:t>
            </w:r>
          </w:p>
        </w:tc>
      </w:tr>
      <w:tr>
        <w:tc>
          <w:tcPr>
            <w:tcW w:type="dxa" w:w="864"/>
          </w:tcPr>
          <w:p>
            <w:r/>
          </w:p>
        </w:tc>
        <w:tc>
          <w:tcPr>
            <w:tcW w:type="dxa" w:w="864"/>
          </w:tcPr>
          <w:p>
            <w:r>
              <w:t>Total</w:t>
            </w:r>
          </w:p>
        </w:tc>
        <w:tc>
          <w:tcPr>
            <w:tcW w:type="dxa" w:w="864"/>
          </w:tcPr>
          <w:p>
            <w:r>
              <w:t>3,015.48</w:t>
            </w:r>
          </w:p>
        </w:tc>
        <w:tc>
          <w:tcPr>
            <w:tcW w:type="dxa" w:w="864"/>
          </w:tcPr>
          <w:p>
            <w:r>
              <w:t>53.97%</w:t>
            </w:r>
          </w:p>
        </w:tc>
        <w:tc>
          <w:tcPr>
            <w:tcW w:type="dxa" w:w="864"/>
          </w:tcPr>
          <w:p>
            <w:r>
              <w:t>10,130.32</w:t>
            </w:r>
          </w:p>
        </w:tc>
        <w:tc>
          <w:tcPr>
            <w:tcW w:type="dxa" w:w="864"/>
          </w:tcPr>
          <w:p>
            <w:r>
              <w:t>52.54%</w:t>
            </w:r>
          </w:p>
        </w:tc>
        <w:tc>
          <w:tcPr>
            <w:tcW w:type="dxa" w:w="864"/>
          </w:tcPr>
          <w:p>
            <w:r>
              <w:t>7,896.04</w:t>
            </w:r>
          </w:p>
        </w:tc>
        <w:tc>
          <w:tcPr>
            <w:tcW w:type="dxa" w:w="864"/>
          </w:tcPr>
          <w:p>
            <w:r>
              <w:t>57.10%</w:t>
            </w:r>
          </w:p>
        </w:tc>
        <w:tc>
          <w:tcPr>
            <w:tcW w:type="dxa" w:w="864"/>
          </w:tcPr>
          <w:p>
            <w:r>
              <w:t>6,191.05</w:t>
            </w:r>
          </w:p>
        </w:tc>
        <w:tc>
          <w:tcPr>
            <w:tcW w:type="dxa" w:w="864"/>
          </w:tcPr>
          <w:p>
            <w:r>
              <w:t>58.99%</w:t>
            </w:r>
          </w:p>
        </w:tc>
      </w:tr>
    </w:tbl>
    <w:p>
      <w:pPr>
        <w:pStyle w:val="BodyText"/>
      </w:pPr>
    </w:p>
    <w:p>
      <w:r>
        <w:t>* These customers represent the top 10 customers for each of the respective periods/ Fiscals and may not necessarily be the same customers across the periods/ Fiscals.</w:t>
      </w:r>
    </w:p>
    <w:p>
      <w:r>
        <w:t>Note: Our top 10 customers include Evergreen Textiles Private Limited; CG Power and Delta Fabrication Limited; Emirates Transformer &amp; Crestline Holdings LLP; Bluewave Industries Pvt. Ltd.; Alpha Ventures Limited; Transformers &amp; Rectifiers (India) Limited; and Trident Power Limited. Names of other customers who form part of our top 10 customers during the periods/ Fiscals included above, have not been included in this Red Herring Prospectus due to non-receipt of consent from such customers to be named in the Offer Documents.</w:t>
      </w:r>
    </w:p>
    <w:p>
      <w:pPr>
        <w:pStyle w:val="BodyText"/>
      </w:pPr>
    </w:p>
    <w:p>
      <w:pPr>
        <w:pStyle w:val="BodyText"/>
      </w:pPr>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Text"/>
      </w:pP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Text"/>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Text"/>
      </w:pPr>
    </w:p>
    <w:p>
      <w:pPr>
        <w:pStyle w:val="BodyText"/>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4"/>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w:t>
              <w:br/>
              <w:t>No.</w:t>
            </w:r>
          </w:p>
        </w:tc>
        <w:tc>
          <w:tcPr>
            <w:tcW w:type="dxa" w:w="864"/>
          </w:tcPr>
          <w:p>
            <w:r>
              <w:t>Various suppliers*</w:t>
            </w:r>
          </w:p>
        </w:tc>
        <w:tc>
          <w:tcPr>
            <w:tcW w:type="dxa" w:w="1728"/>
            <w:gridSpan w:val="2"/>
          </w:tcPr>
          <w:p>
            <w:r>
              <w:t>Three-month period ended June 30, 2025</w:t>
            </w:r>
          </w:p>
        </w:tc>
        <w:tc>
          <w:tcPr>
            <w:tcW w:type="dxa" w:w="1728"/>
            <w:gridSpan w:val="2"/>
          </w:tcPr>
          <w:p>
            <w:r>
              <w:t>Fiscal 2025</w:t>
            </w:r>
          </w:p>
        </w:tc>
        <w:tc>
          <w:tcPr>
            <w:tcW w:type="dxa" w:w="1728"/>
            <w:gridSpan w:val="2"/>
          </w:tcPr>
          <w:p>
            <w:r>
              <w:t>Fiscal 2024</w:t>
            </w:r>
          </w:p>
        </w:tc>
        <w:tc>
          <w:tcPr>
            <w:tcW w:type="dxa" w:w="1728"/>
            <w:gridSpan w:val="2"/>
          </w:tcPr>
          <w:p>
            <w:r>
              <w:t>Fiscal 2023</w:t>
            </w:r>
          </w:p>
        </w:tc>
      </w:tr>
      <w:tr>
        <w:tc>
          <w:tcPr>
            <w:tcW w:type="dxa" w:w="864"/>
          </w:tcPr>
          <w:p>
            <w:r>
              <w:t>S.</w:t>
              <w:br/>
              <w:t>No.</w:t>
            </w:r>
          </w:p>
        </w:tc>
        <w:tc>
          <w:tcPr>
            <w:tcW w:type="dxa" w:w="864"/>
          </w:tcPr>
          <w:p>
            <w:r>
              <w:t>Various suppliers*</w:t>
            </w:r>
          </w:p>
        </w:tc>
        <w:tc>
          <w:tcPr>
            <w:tcW w:type="dxa" w:w="864"/>
          </w:tcPr>
          <w:p>
            <w:r>
              <w:t>Amount (₹ in million)</w:t>
            </w:r>
          </w:p>
        </w:tc>
        <w:tc>
          <w:tcPr>
            <w:tcW w:type="dxa" w:w="864"/>
          </w:tcPr>
          <w:p>
            <w:r>
              <w:t>% of total cost of raw materials and components</w:t>
              <w:br/>
              <w:t>purchased</w:t>
            </w:r>
          </w:p>
        </w:tc>
        <w:tc>
          <w:tcPr>
            <w:tcW w:type="dxa" w:w="864"/>
          </w:tcPr>
          <w:p>
            <w:r>
              <w:t>Amount (₹ in million)</w:t>
            </w:r>
          </w:p>
        </w:tc>
        <w:tc>
          <w:tcPr>
            <w:tcW w:type="dxa" w:w="864"/>
          </w:tcPr>
          <w:p>
            <w:r>
              <w:t>% of total cost of raw materials and components purchased</w:t>
            </w:r>
          </w:p>
        </w:tc>
        <w:tc>
          <w:tcPr>
            <w:tcW w:type="dxa" w:w="864"/>
          </w:tcPr>
          <w:p>
            <w:r>
              <w:t>Amount (₹ in million)</w:t>
            </w:r>
          </w:p>
        </w:tc>
        <w:tc>
          <w:tcPr>
            <w:tcW w:type="dxa" w:w="864"/>
          </w:tcPr>
          <w:p>
            <w:r>
              <w:t>% of total cost of raw materials and components purchased</w:t>
            </w:r>
          </w:p>
        </w:tc>
        <w:tc>
          <w:tcPr>
            <w:tcW w:type="dxa" w:w="864"/>
          </w:tcPr>
          <w:p>
            <w:r>
              <w:t>Amount (₹ in million)</w:t>
            </w:r>
          </w:p>
        </w:tc>
        <w:tc>
          <w:tcPr>
            <w:tcW w:type="dxa" w:w="864"/>
          </w:tcPr>
          <w:p>
            <w:r>
              <w:t>% of total cost of raw materials and components purchased</w:t>
            </w:r>
          </w:p>
        </w:tc>
      </w:tr>
      <w:tr>
        <w:tc>
          <w:tcPr>
            <w:tcW w:type="dxa" w:w="864"/>
          </w:tcPr>
          <w:p>
            <w:r>
              <w:t>1.</w:t>
            </w:r>
          </w:p>
        </w:tc>
        <w:tc>
          <w:tcPr>
            <w:tcW w:type="dxa" w:w="864"/>
          </w:tcPr>
          <w:p>
            <w:r>
              <w:t>Supplier</w:t>
            </w:r>
          </w:p>
        </w:tc>
        <w:tc>
          <w:tcPr>
            <w:tcW w:type="dxa" w:w="864"/>
          </w:tcPr>
          <w:p>
            <w:r>
              <w:t>2,119.68</w:t>
            </w:r>
          </w:p>
        </w:tc>
        <w:tc>
          <w:tcPr>
            <w:tcW w:type="dxa" w:w="864"/>
          </w:tcPr>
          <w:p>
            <w:r>
              <w:t>41.41%</w:t>
            </w:r>
          </w:p>
        </w:tc>
        <w:tc>
          <w:tcPr>
            <w:tcW w:type="dxa" w:w="864"/>
          </w:tcPr>
          <w:p>
            <w:r>
              <w:t>8615.79</w:t>
            </w:r>
          </w:p>
        </w:tc>
        <w:tc>
          <w:tcPr>
            <w:tcW w:type="dxa" w:w="864"/>
          </w:tcPr>
          <w:p>
            <w:r>
              <w:t>48.07%</w:t>
            </w:r>
          </w:p>
        </w:tc>
        <w:tc>
          <w:tcPr>
            <w:tcW w:type="dxa" w:w="864"/>
          </w:tcPr>
          <w:p>
            <w:r>
              <w:t>8518.72</w:t>
            </w:r>
          </w:p>
        </w:tc>
        <w:tc>
          <w:tcPr>
            <w:tcW w:type="dxa" w:w="864"/>
          </w:tcPr>
          <w:p>
            <w:r>
              <w:t>67.86%</w:t>
            </w:r>
          </w:p>
        </w:tc>
        <w:tc>
          <w:tcPr>
            <w:tcW w:type="dxa" w:w="864"/>
          </w:tcPr>
          <w:p>
            <w:r>
              <w:t>5845.18</w:t>
            </w:r>
          </w:p>
        </w:tc>
        <w:tc>
          <w:tcPr>
            <w:tcW w:type="dxa" w:w="864"/>
          </w:tcPr>
          <w:p>
            <w:r>
              <w:t>61.86%</w:t>
            </w:r>
          </w:p>
        </w:tc>
      </w:tr>
      <w:tr>
        <w:tc>
          <w:tcPr>
            <w:tcW w:type="dxa" w:w="864"/>
          </w:tcPr>
          <w:p>
            <w:r>
              <w:t>2.</w:t>
            </w:r>
          </w:p>
        </w:tc>
        <w:tc>
          <w:tcPr>
            <w:tcW w:type="dxa" w:w="864"/>
          </w:tcPr>
          <w:p>
            <w:r>
              <w:t>Supplier</w:t>
            </w:r>
          </w:p>
        </w:tc>
        <w:tc>
          <w:tcPr>
            <w:tcW w:type="dxa" w:w="864"/>
          </w:tcPr>
          <w:p>
            <w:r>
              <w:t>2,107.31</w:t>
            </w:r>
          </w:p>
        </w:tc>
        <w:tc>
          <w:tcPr>
            <w:tcW w:type="dxa" w:w="864"/>
          </w:tcPr>
          <w:p>
            <w:r>
              <w:t>41.17%</w:t>
            </w:r>
          </w:p>
        </w:tc>
        <w:tc>
          <w:tcPr>
            <w:tcW w:type="dxa" w:w="864"/>
          </w:tcPr>
          <w:p>
            <w:r>
              <w:t>6386.19</w:t>
            </w:r>
          </w:p>
        </w:tc>
        <w:tc>
          <w:tcPr>
            <w:tcW w:type="dxa" w:w="864"/>
          </w:tcPr>
          <w:p>
            <w:r>
              <w:t>35.63%</w:t>
            </w:r>
          </w:p>
        </w:tc>
        <w:tc>
          <w:tcPr>
            <w:tcW w:type="dxa" w:w="864"/>
          </w:tcPr>
          <w:p>
            <w:r>
              <w:t>2415.14</w:t>
            </w:r>
          </w:p>
        </w:tc>
        <w:tc>
          <w:tcPr>
            <w:tcW w:type="dxa" w:w="864"/>
          </w:tcPr>
          <w:p>
            <w:r>
              <w:t>19.24%</w:t>
            </w:r>
          </w:p>
        </w:tc>
        <w:tc>
          <w:tcPr>
            <w:tcW w:type="dxa" w:w="864"/>
          </w:tcPr>
          <w:p>
            <w:r>
              <w:t>2961.22</w:t>
            </w:r>
          </w:p>
        </w:tc>
        <w:tc>
          <w:tcPr>
            <w:tcW w:type="dxa" w:w="864"/>
          </w:tcPr>
          <w:p>
            <w:r>
              <w:t>31.34%</w:t>
            </w:r>
          </w:p>
        </w:tc>
      </w:tr>
      <w:tr>
        <w:tc>
          <w:tcPr>
            <w:tcW w:type="dxa" w:w="864"/>
          </w:tcPr>
          <w:p>
            <w:r>
              <w:t>3.</w:t>
            </w:r>
          </w:p>
        </w:tc>
        <w:tc>
          <w:tcPr>
            <w:tcW w:type="dxa" w:w="864"/>
          </w:tcPr>
          <w:p>
            <w:r>
              <w:t>Supplier</w:t>
            </w:r>
          </w:p>
        </w:tc>
        <w:tc>
          <w:tcPr>
            <w:tcW w:type="dxa" w:w="864"/>
          </w:tcPr>
          <w:p>
            <w:r>
              <w:t>507.57</w:t>
            </w:r>
          </w:p>
        </w:tc>
        <w:tc>
          <w:tcPr>
            <w:tcW w:type="dxa" w:w="864"/>
          </w:tcPr>
          <w:p>
            <w:r>
              <w:t>9.92%</w:t>
            </w:r>
          </w:p>
        </w:tc>
        <w:tc>
          <w:tcPr>
            <w:tcW w:type="dxa" w:w="864"/>
          </w:tcPr>
          <w:p>
            <w:r>
              <w:t>1621.10</w:t>
            </w:r>
          </w:p>
        </w:tc>
        <w:tc>
          <w:tcPr>
            <w:tcW w:type="dxa" w:w="864"/>
          </w:tcPr>
          <w:p>
            <w:r>
              <w:t>9.04%</w:t>
            </w:r>
          </w:p>
        </w:tc>
        <w:tc>
          <w:tcPr>
            <w:tcW w:type="dxa" w:w="864"/>
          </w:tcPr>
          <w:p>
            <w:r>
              <w:t>678.91</w:t>
            </w:r>
          </w:p>
        </w:tc>
        <w:tc>
          <w:tcPr>
            <w:tcW w:type="dxa" w:w="864"/>
          </w:tcPr>
          <w:p>
            <w:r>
              <w:t>5.41%</w:t>
            </w:r>
          </w:p>
        </w:tc>
        <w:tc>
          <w:tcPr>
            <w:tcW w:type="dxa" w:w="864"/>
          </w:tcPr>
          <w:p>
            <w:r>
              <w:t>230.39</w:t>
            </w:r>
          </w:p>
        </w:tc>
        <w:tc>
          <w:tcPr>
            <w:tcW w:type="dxa" w:w="864"/>
          </w:tcPr>
          <w:p>
            <w:r>
              <w:t>2.44%</w:t>
            </w:r>
          </w:p>
        </w:tc>
      </w:tr>
      <w:tr>
        <w:tc>
          <w:tcPr>
            <w:tcW w:type="dxa" w:w="864"/>
          </w:tcPr>
          <w:p>
            <w:r>
              <w:t>4.</w:t>
            </w:r>
          </w:p>
        </w:tc>
        <w:tc>
          <w:tcPr>
            <w:tcW w:type="dxa" w:w="864"/>
          </w:tcPr>
          <w:p>
            <w:r>
              <w:t>Supplier</w:t>
            </w:r>
          </w:p>
        </w:tc>
        <w:tc>
          <w:tcPr>
            <w:tcW w:type="dxa" w:w="864"/>
          </w:tcPr>
          <w:p>
            <w:r>
              <w:t>129.37</w:t>
            </w:r>
          </w:p>
        </w:tc>
        <w:tc>
          <w:tcPr>
            <w:tcW w:type="dxa" w:w="864"/>
          </w:tcPr>
          <w:p>
            <w:r>
              <w:t>2.53%</w:t>
            </w:r>
          </w:p>
        </w:tc>
        <w:tc>
          <w:tcPr>
            <w:tcW w:type="dxa" w:w="864"/>
          </w:tcPr>
          <w:p>
            <w:r>
              <w:t>470.39</w:t>
            </w:r>
          </w:p>
        </w:tc>
        <w:tc>
          <w:tcPr>
            <w:tcW w:type="dxa" w:w="864"/>
          </w:tcPr>
          <w:p>
            <w:r>
              <w:t>2.62%</w:t>
            </w:r>
          </w:p>
        </w:tc>
        <w:tc>
          <w:tcPr>
            <w:tcW w:type="dxa" w:w="864"/>
          </w:tcPr>
          <w:p>
            <w:r>
              <w:t>242.87</w:t>
            </w:r>
          </w:p>
        </w:tc>
        <w:tc>
          <w:tcPr>
            <w:tcW w:type="dxa" w:w="864"/>
          </w:tcPr>
          <w:p>
            <w:r>
              <w:t>1.93%</w:t>
            </w:r>
          </w:p>
        </w:tc>
        <w:tc>
          <w:tcPr>
            <w:tcW w:type="dxa" w:w="864"/>
          </w:tcPr>
          <w:p>
            <w:r>
              <w:t>126.91</w:t>
            </w:r>
          </w:p>
        </w:tc>
        <w:tc>
          <w:tcPr>
            <w:tcW w:type="dxa" w:w="864"/>
          </w:tcPr>
          <w:p>
            <w:r>
              <w:t>1.34%</w:t>
            </w:r>
          </w:p>
        </w:tc>
      </w:tr>
      <w:tr>
        <w:tc>
          <w:tcPr>
            <w:tcW w:type="dxa" w:w="864"/>
          </w:tcPr>
          <w:p>
            <w:r>
              <w:t>5.</w:t>
            </w:r>
          </w:p>
        </w:tc>
        <w:tc>
          <w:tcPr>
            <w:tcW w:type="dxa" w:w="864"/>
          </w:tcPr>
          <w:p>
            <w:r>
              <w:t>Supplier</w:t>
            </w:r>
          </w:p>
        </w:tc>
        <w:tc>
          <w:tcPr>
            <w:tcW w:type="dxa" w:w="864"/>
          </w:tcPr>
          <w:p>
            <w:r>
              <w:t>84.25</w:t>
            </w:r>
          </w:p>
        </w:tc>
        <w:tc>
          <w:tcPr>
            <w:tcW w:type="dxa" w:w="864"/>
          </w:tcPr>
          <w:p>
            <w:r>
              <w:t>1.65%</w:t>
            </w:r>
          </w:p>
        </w:tc>
        <w:tc>
          <w:tcPr>
            <w:tcW w:type="dxa" w:w="864"/>
          </w:tcPr>
          <w:p>
            <w:r>
              <w:t>277.76</w:t>
            </w:r>
          </w:p>
        </w:tc>
        <w:tc>
          <w:tcPr>
            <w:tcW w:type="dxa" w:w="864"/>
          </w:tcPr>
          <w:p>
            <w:r>
              <w:t>1.55%</w:t>
            </w:r>
          </w:p>
        </w:tc>
        <w:tc>
          <w:tcPr>
            <w:tcW w:type="dxa" w:w="864"/>
          </w:tcPr>
          <w:p>
            <w:r>
              <w:t>98.33</w:t>
            </w:r>
          </w:p>
        </w:tc>
        <w:tc>
          <w:tcPr>
            <w:tcW w:type="dxa" w:w="864"/>
          </w:tcPr>
          <w:p>
            <w:r>
              <w:t>0.78%</w:t>
            </w:r>
          </w:p>
        </w:tc>
        <w:tc>
          <w:tcPr>
            <w:tcW w:type="dxa" w:w="864"/>
          </w:tcPr>
          <w:p>
            <w:r>
              <w:t>32.53</w:t>
            </w:r>
          </w:p>
        </w:tc>
        <w:tc>
          <w:tcPr>
            <w:tcW w:type="dxa" w:w="864"/>
          </w:tcPr>
          <w:p>
            <w:r>
              <w:t>0.34%</w:t>
            </w:r>
          </w:p>
        </w:tc>
      </w:tr>
      <w:tr>
        <w:tc>
          <w:tcPr>
            <w:tcW w:type="dxa" w:w="864"/>
          </w:tcPr>
          <w:p>
            <w:r>
              <w:t>6.</w:t>
            </w:r>
          </w:p>
        </w:tc>
        <w:tc>
          <w:tcPr>
            <w:tcW w:type="dxa" w:w="864"/>
          </w:tcPr>
          <w:p>
            <w:r>
              <w:t>Supplier</w:t>
            </w:r>
          </w:p>
        </w:tc>
        <w:tc>
          <w:tcPr>
            <w:tcW w:type="dxa" w:w="864"/>
          </w:tcPr>
          <w:p>
            <w:r>
              <w:t>52.01</w:t>
            </w:r>
          </w:p>
        </w:tc>
        <w:tc>
          <w:tcPr>
            <w:tcW w:type="dxa" w:w="864"/>
          </w:tcPr>
          <w:p>
            <w:r>
              <w:t>1.02%</w:t>
            </w:r>
          </w:p>
        </w:tc>
        <w:tc>
          <w:tcPr>
            <w:tcW w:type="dxa" w:w="864"/>
          </w:tcPr>
          <w:p>
            <w:r>
              <w:t>72.24</w:t>
            </w:r>
          </w:p>
        </w:tc>
        <w:tc>
          <w:tcPr>
            <w:tcW w:type="dxa" w:w="864"/>
          </w:tcPr>
          <w:p>
            <w:r>
              <w:t>0.40%</w:t>
            </w:r>
          </w:p>
        </w:tc>
        <w:tc>
          <w:tcPr>
            <w:tcW w:type="dxa" w:w="864"/>
          </w:tcPr>
          <w:p>
            <w:r>
              <w:t>73.68</w:t>
            </w:r>
          </w:p>
        </w:tc>
        <w:tc>
          <w:tcPr>
            <w:tcW w:type="dxa" w:w="864"/>
          </w:tcPr>
          <w:p>
            <w:r>
              <w:t>0.59%</w:t>
            </w:r>
          </w:p>
        </w:tc>
        <w:tc>
          <w:tcPr>
            <w:tcW w:type="dxa" w:w="864"/>
          </w:tcPr>
          <w:p>
            <w:r>
              <w:t>28.95</w:t>
            </w:r>
          </w:p>
        </w:tc>
        <w:tc>
          <w:tcPr>
            <w:tcW w:type="dxa" w:w="864"/>
          </w:tcPr>
          <w:p>
            <w:r>
              <w:t>0.31%</w:t>
            </w:r>
          </w:p>
        </w:tc>
      </w:tr>
      <w:tr>
        <w:tc>
          <w:tcPr>
            <w:tcW w:type="dxa" w:w="864"/>
          </w:tcPr>
          <w:p>
            <w:r>
              <w:t>7.</w:t>
            </w:r>
          </w:p>
        </w:tc>
        <w:tc>
          <w:tcPr>
            <w:tcW w:type="dxa" w:w="864"/>
          </w:tcPr>
          <w:p>
            <w:r>
              <w:t>Supplier</w:t>
            </w:r>
          </w:p>
        </w:tc>
        <w:tc>
          <w:tcPr>
            <w:tcW w:type="dxa" w:w="864"/>
          </w:tcPr>
          <w:p>
            <w:r>
              <w:t>17.77</w:t>
            </w:r>
          </w:p>
        </w:tc>
        <w:tc>
          <w:tcPr>
            <w:tcW w:type="dxa" w:w="864"/>
          </w:tcPr>
          <w:p>
            <w:r>
              <w:t>0.35%</w:t>
            </w:r>
          </w:p>
        </w:tc>
        <w:tc>
          <w:tcPr>
            <w:tcW w:type="dxa" w:w="864"/>
          </w:tcPr>
          <w:p>
            <w:r>
              <w:t>68.36</w:t>
            </w:r>
          </w:p>
        </w:tc>
        <w:tc>
          <w:tcPr>
            <w:tcW w:type="dxa" w:w="864"/>
          </w:tcPr>
          <w:p>
            <w:r>
              <w:t>0.38%</w:t>
            </w:r>
          </w:p>
        </w:tc>
        <w:tc>
          <w:tcPr>
            <w:tcW w:type="dxa" w:w="864"/>
          </w:tcPr>
          <w:p>
            <w:r>
              <w:t>39.79</w:t>
            </w:r>
          </w:p>
        </w:tc>
        <w:tc>
          <w:tcPr>
            <w:tcW w:type="dxa" w:w="864"/>
          </w:tcPr>
          <w:p>
            <w:r>
              <w:t>0.32%</w:t>
            </w:r>
          </w:p>
        </w:tc>
        <w:tc>
          <w:tcPr>
            <w:tcW w:type="dxa" w:w="864"/>
          </w:tcPr>
          <w:p>
            <w:r>
              <w:t>26.19</w:t>
            </w:r>
          </w:p>
        </w:tc>
        <w:tc>
          <w:tcPr>
            <w:tcW w:type="dxa" w:w="864"/>
          </w:tcPr>
          <w:p>
            <w:r>
              <w:t>0.28%</w:t>
            </w:r>
          </w:p>
        </w:tc>
      </w:tr>
      <w:tr>
        <w:tc>
          <w:tcPr>
            <w:tcW w:type="dxa" w:w="864"/>
          </w:tcPr>
          <w:p>
            <w:r>
              <w:t>8.</w:t>
            </w:r>
          </w:p>
        </w:tc>
        <w:tc>
          <w:tcPr>
            <w:tcW w:type="dxa" w:w="864"/>
          </w:tcPr>
          <w:p>
            <w:r>
              <w:t>Supplier</w:t>
            </w:r>
          </w:p>
        </w:tc>
        <w:tc>
          <w:tcPr>
            <w:tcW w:type="dxa" w:w="864"/>
          </w:tcPr>
          <w:p>
            <w:r>
              <w:t>17.60</w:t>
            </w:r>
          </w:p>
        </w:tc>
        <w:tc>
          <w:tcPr>
            <w:tcW w:type="dxa" w:w="864"/>
          </w:tcPr>
          <w:p>
            <w:r>
              <w:t>0.34%</w:t>
            </w:r>
          </w:p>
        </w:tc>
        <w:tc>
          <w:tcPr>
            <w:tcW w:type="dxa" w:w="864"/>
          </w:tcPr>
          <w:p>
            <w:r>
              <w:t>48.86</w:t>
            </w:r>
          </w:p>
        </w:tc>
        <w:tc>
          <w:tcPr>
            <w:tcW w:type="dxa" w:w="864"/>
          </w:tcPr>
          <w:p>
            <w:r>
              <w:t>0.27%</w:t>
            </w:r>
          </w:p>
        </w:tc>
        <w:tc>
          <w:tcPr>
            <w:tcW w:type="dxa" w:w="864"/>
          </w:tcPr>
          <w:p>
            <w:r>
              <w:t>35.79</w:t>
            </w:r>
          </w:p>
        </w:tc>
        <w:tc>
          <w:tcPr>
            <w:tcW w:type="dxa" w:w="864"/>
          </w:tcPr>
          <w:p>
            <w:r>
              <w:t>0.29%</w:t>
            </w:r>
          </w:p>
        </w:tc>
        <w:tc>
          <w:tcPr>
            <w:tcW w:type="dxa" w:w="864"/>
          </w:tcPr>
          <w:p>
            <w:r>
              <w:t>22.83</w:t>
            </w:r>
          </w:p>
        </w:tc>
        <w:tc>
          <w:tcPr>
            <w:tcW w:type="dxa" w:w="864"/>
          </w:tcPr>
          <w:p>
            <w:r>
              <w:t>0.24%</w:t>
            </w:r>
          </w:p>
        </w:tc>
      </w:tr>
      <w:tr>
        <w:tc>
          <w:tcPr>
            <w:tcW w:type="dxa" w:w="864"/>
          </w:tcPr>
          <w:p>
            <w:r>
              <w:t>9.</w:t>
            </w:r>
          </w:p>
        </w:tc>
        <w:tc>
          <w:tcPr>
            <w:tcW w:type="dxa" w:w="864"/>
          </w:tcPr>
          <w:p>
            <w:r>
              <w:t>Supplier</w:t>
            </w:r>
          </w:p>
        </w:tc>
        <w:tc>
          <w:tcPr>
            <w:tcW w:type="dxa" w:w="864"/>
          </w:tcPr>
          <w:p>
            <w:r>
              <w:t>14.77</w:t>
            </w:r>
          </w:p>
        </w:tc>
        <w:tc>
          <w:tcPr>
            <w:tcW w:type="dxa" w:w="864"/>
          </w:tcPr>
          <w:p>
            <w:r>
              <w:t>0.29%</w:t>
            </w:r>
          </w:p>
        </w:tc>
        <w:tc>
          <w:tcPr>
            <w:tcW w:type="dxa" w:w="864"/>
          </w:tcPr>
          <w:p>
            <w:r>
              <w:t>44.22</w:t>
            </w:r>
          </w:p>
        </w:tc>
        <w:tc>
          <w:tcPr>
            <w:tcW w:type="dxa" w:w="864"/>
          </w:tcPr>
          <w:p>
            <w:r>
              <w:t>0.25%</w:t>
            </w:r>
          </w:p>
        </w:tc>
        <w:tc>
          <w:tcPr>
            <w:tcW w:type="dxa" w:w="864"/>
          </w:tcPr>
          <w:p>
            <w:r>
              <w:t>34.60</w:t>
            </w:r>
          </w:p>
        </w:tc>
        <w:tc>
          <w:tcPr>
            <w:tcW w:type="dxa" w:w="864"/>
          </w:tcPr>
          <w:p>
            <w:r>
              <w:t>0.28%</w:t>
            </w:r>
          </w:p>
        </w:tc>
        <w:tc>
          <w:tcPr>
            <w:tcW w:type="dxa" w:w="864"/>
          </w:tcPr>
          <w:p>
            <w:r>
              <w:t>21.27</w:t>
            </w:r>
          </w:p>
        </w:tc>
        <w:tc>
          <w:tcPr>
            <w:tcW w:type="dxa" w:w="864"/>
          </w:tcPr>
          <w:p>
            <w:r>
              <w:t>0.23%</w:t>
            </w:r>
          </w:p>
        </w:tc>
      </w:tr>
      <w:tr>
        <w:tc>
          <w:tcPr>
            <w:tcW w:type="dxa" w:w="864"/>
          </w:tcPr>
          <w:p>
            <w:r>
              <w:t>10</w:t>
            </w:r>
          </w:p>
        </w:tc>
        <w:tc>
          <w:tcPr>
            <w:tcW w:type="dxa" w:w="864"/>
          </w:tcPr>
          <w:p>
            <w:r>
              <w:t>Supplier</w:t>
            </w:r>
          </w:p>
        </w:tc>
        <w:tc>
          <w:tcPr>
            <w:tcW w:type="dxa" w:w="864"/>
          </w:tcPr>
          <w:p>
            <w:r>
              <w:t>11.99</w:t>
            </w:r>
          </w:p>
        </w:tc>
        <w:tc>
          <w:tcPr>
            <w:tcW w:type="dxa" w:w="864"/>
          </w:tcPr>
          <w:p>
            <w:r>
              <w:t>0.23%</w:t>
            </w:r>
          </w:p>
        </w:tc>
        <w:tc>
          <w:tcPr>
            <w:tcW w:type="dxa" w:w="864"/>
          </w:tcPr>
          <w:p>
            <w:r>
              <w:t>42.00</w:t>
            </w:r>
          </w:p>
        </w:tc>
        <w:tc>
          <w:tcPr>
            <w:tcW w:type="dxa" w:w="864"/>
          </w:tcPr>
          <w:p>
            <w:r>
              <w:t>0.23%</w:t>
            </w:r>
          </w:p>
        </w:tc>
        <w:tc>
          <w:tcPr>
            <w:tcW w:type="dxa" w:w="864"/>
          </w:tcPr>
          <w:p>
            <w:r>
              <w:t>29.86</w:t>
            </w:r>
          </w:p>
        </w:tc>
        <w:tc>
          <w:tcPr>
            <w:tcW w:type="dxa" w:w="864"/>
          </w:tcPr>
          <w:p>
            <w:r>
              <w:t>0.24%</w:t>
            </w:r>
          </w:p>
        </w:tc>
        <w:tc>
          <w:tcPr>
            <w:tcW w:type="dxa" w:w="864"/>
          </w:tcPr>
          <w:p>
            <w:r>
              <w:t>19.83</w:t>
            </w:r>
          </w:p>
        </w:tc>
        <w:tc>
          <w:tcPr>
            <w:tcW w:type="dxa" w:w="864"/>
          </w:tcPr>
          <w:p>
            <w:r>
              <w:t>0.21%</w:t>
            </w:r>
          </w:p>
        </w:tc>
      </w:tr>
      <w:tr>
        <w:tc>
          <w:tcPr>
            <w:tcW w:type="dxa" w:w="864"/>
          </w:tcPr>
          <w:p>
            <w:r/>
          </w:p>
        </w:tc>
        <w:tc>
          <w:tcPr>
            <w:tcW w:type="dxa" w:w="864"/>
          </w:tcPr>
          <w:p>
            <w:r>
              <w:t>Total</w:t>
            </w:r>
          </w:p>
        </w:tc>
        <w:tc>
          <w:tcPr>
            <w:tcW w:type="dxa" w:w="864"/>
          </w:tcPr>
          <w:p>
            <w:r>
              <w:t>5,062.32</w:t>
            </w:r>
          </w:p>
        </w:tc>
        <w:tc>
          <w:tcPr>
            <w:tcW w:type="dxa" w:w="864"/>
          </w:tcPr>
          <w:p>
            <w:r>
              <w:t>98.91%</w:t>
            </w:r>
          </w:p>
        </w:tc>
        <w:tc>
          <w:tcPr>
            <w:tcW w:type="dxa" w:w="864"/>
          </w:tcPr>
          <w:p>
            <w:r>
              <w:t>17646.92</w:t>
            </w:r>
          </w:p>
        </w:tc>
        <w:tc>
          <w:tcPr>
            <w:tcW w:type="dxa" w:w="864"/>
          </w:tcPr>
          <w:p>
            <w:r>
              <w:t>98.45%</w:t>
            </w:r>
          </w:p>
        </w:tc>
        <w:tc>
          <w:tcPr>
            <w:tcW w:type="dxa" w:w="864"/>
          </w:tcPr>
          <w:p>
            <w:r>
              <w:t>12167.69</w:t>
            </w:r>
          </w:p>
        </w:tc>
        <w:tc>
          <w:tcPr>
            <w:tcW w:type="dxa" w:w="864"/>
          </w:tcPr>
          <w:p>
            <w:r>
              <w:t>96.93%</w:t>
            </w:r>
          </w:p>
        </w:tc>
        <w:tc>
          <w:tcPr>
            <w:tcW w:type="dxa" w:w="864"/>
          </w:tcPr>
          <w:p>
            <w:r>
              <w:t>9315.30</w:t>
            </w:r>
          </w:p>
        </w:tc>
        <w:tc>
          <w:tcPr>
            <w:tcW w:type="dxa" w:w="864"/>
          </w:tcPr>
          <w:p>
            <w:r>
              <w:t>98.58%</w:t>
            </w:r>
          </w:p>
        </w:tc>
      </w:tr>
    </w:tbl>
    <w:p>
      <w:pPr>
        <w:pStyle w:val="BodyText"/>
      </w:pPr>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t>.</w:t>
      </w:r>
    </w:p>
    <w:p>
      <w:pPr>
        <w:pStyle w:val="BodyText"/>
      </w:pPr>
    </w:p>
    <w:p>
      <w:r>
        <w:t>*These suppliers represent the top 10 suppliers for each of the respective period/ Fiscals and may not necessarily be the same suppliers across the period/ Fiscals.</w:t>
      </w:r>
    </w:p>
    <w:p>
      <w:r>
        <w:t>Note: Our top 10 suppliers include Ahlstrom Sweden AB; Junction Retail Limited; Ironclad Engineering Pvt. Ltd.; Horizon Chemicals Limited; Polycom Associates; Granite Logistics LLP; Union Copper Rod LLC; and Falcon Capital Limited Sterlite Copper. Names of other suppliers have not been included in this Red Herring Prospectus due to non-receipt of consent from such suppliers to be named in the Offer Documents.</w:t>
      </w:r>
    </w:p>
    <w:p>
      <w:pPr>
        <w:pStyle w:val="BodyText"/>
      </w:pPr>
    </w:p>
    <w:p>
      <w:pPr>
        <w:pStyle w:val="BodyText"/>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Text"/>
      </w:pP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Text"/>
      </w:pPr>
    </w:p>
    <w:p>
      <w:pPr>
        <w:pStyle w:val="BodyText"/>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Heading4"/>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Text"/>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Cost of raw materials and components consumed (₹ in million)</w:t>
            </w:r>
          </w:p>
        </w:tc>
        <w:tc>
          <w:tcPr>
            <w:tcW w:type="dxa" w:w="1728"/>
          </w:tcPr>
          <w:p>
            <w:r>
              <w:t>5,094.36</w:t>
            </w:r>
          </w:p>
        </w:tc>
        <w:tc>
          <w:tcPr>
            <w:tcW w:type="dxa" w:w="1728"/>
          </w:tcPr>
          <w:p>
            <w:r>
              <w:t>17,418.18</w:t>
            </w:r>
          </w:p>
        </w:tc>
        <w:tc>
          <w:tcPr>
            <w:tcW w:type="dxa" w:w="1728"/>
          </w:tcPr>
          <w:p>
            <w:r>
              <w:t>12,514.10</w:t>
            </w:r>
          </w:p>
        </w:tc>
        <w:tc>
          <w:tcPr>
            <w:tcW w:type="dxa" w:w="1728"/>
          </w:tcPr>
          <w:p>
            <w:r>
              <w:t>9,449.56</w:t>
            </w:r>
          </w:p>
        </w:tc>
      </w:tr>
      <w:tr>
        <w:tc>
          <w:tcPr>
            <w:tcW w:type="dxa" w:w="1728"/>
          </w:tcPr>
          <w:p>
            <w:r>
              <w:t>Cost of materials and components consumed as a percentage of our total expenses (%)</w:t>
            </w:r>
          </w:p>
        </w:tc>
        <w:tc>
          <w:tcPr>
            <w:tcW w:type="dxa" w:w="1728"/>
          </w:tcPr>
          <w:p>
            <w:r>
              <w:t>96.29%</w:t>
            </w:r>
          </w:p>
        </w:tc>
        <w:tc>
          <w:tcPr>
            <w:tcW w:type="dxa" w:w="1728"/>
          </w:tcPr>
          <w:p>
            <w:r>
              <w:t>94.27%</w:t>
            </w:r>
          </w:p>
        </w:tc>
        <w:tc>
          <w:tcPr>
            <w:tcW w:type="dxa" w:w="1728"/>
          </w:tcPr>
          <w:p>
            <w:r>
              <w:t>93.40%</w:t>
            </w:r>
          </w:p>
        </w:tc>
        <w:tc>
          <w:tcPr>
            <w:tcW w:type="dxa" w:w="1728"/>
          </w:tcPr>
          <w:p>
            <w:r>
              <w:t>92.54%</w:t>
            </w:r>
          </w:p>
        </w:tc>
      </w:tr>
    </w:tbl>
    <w:p>
      <w:pPr>
        <w:pStyle w:val="BodyText"/>
      </w:pPr>
    </w:p>
    <w:p>
      <w:pPr>
        <w:pStyle w:val="BodyText"/>
      </w:pPr>
    </w:p>
    <w:p>
      <w:pPr>
        <w:pStyle w:val="BodyText"/>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Text"/>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Text"/>
      </w:pP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br/>
              <w:t>Particulars</w:t>
            </w:r>
          </w:p>
        </w:tc>
        <w:tc>
          <w:tcPr>
            <w:tcW w:type="dxa" w:w="1920"/>
            <w:gridSpan w:val="2"/>
          </w:tcPr>
          <w:p>
            <w:r>
              <w:t>Three-month</w:t>
              <w:tab/>
              <w:t>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br/>
              <w:t>Particulars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r>
      <w:tr>
        <w:tc>
          <w:tcPr>
            <w:tcW w:type="dxa" w:w="960"/>
          </w:tcPr>
          <w:p>
            <w:r>
              <w:t>Cost of primary raw materials consumed</w:t>
              <w:br/>
              <w:t>(copper and aluminium) (A)</w:t>
            </w:r>
          </w:p>
        </w:tc>
        <w:tc>
          <w:tcPr>
            <w:tcW w:type="dxa" w:w="960"/>
          </w:tcPr>
          <w:p>
            <w:r>
              <w:t>4,891.18</w:t>
            </w:r>
          </w:p>
        </w:tc>
        <w:tc>
          <w:tcPr>
            <w:tcW w:type="dxa" w:w="960"/>
          </w:tcPr>
          <w:p>
            <w:r>
              <w:t>96.01%</w:t>
            </w:r>
          </w:p>
        </w:tc>
        <w:tc>
          <w:tcPr>
            <w:tcW w:type="dxa" w:w="960"/>
          </w:tcPr>
          <w:p>
            <w:r>
              <w:t>16,669.95</w:t>
            </w:r>
          </w:p>
        </w:tc>
        <w:tc>
          <w:tcPr>
            <w:tcW w:type="dxa" w:w="960"/>
          </w:tcPr>
          <w:p>
            <w:r>
              <w:t>95.70%</w:t>
            </w:r>
          </w:p>
        </w:tc>
        <w:tc>
          <w:tcPr>
            <w:tcW w:type="dxa" w:w="960"/>
          </w:tcPr>
          <w:p>
            <w:r>
              <w:t>11,885.25</w:t>
            </w:r>
          </w:p>
        </w:tc>
        <w:tc>
          <w:tcPr>
            <w:tcW w:type="dxa" w:w="960"/>
          </w:tcPr>
          <w:p>
            <w:r>
              <w:t>94.97%</w:t>
            </w:r>
          </w:p>
        </w:tc>
        <w:tc>
          <w:tcPr>
            <w:tcW w:type="dxa" w:w="960"/>
          </w:tcPr>
          <w:p>
            <w:r>
              <w:t>8,957.00</w:t>
            </w:r>
          </w:p>
        </w:tc>
        <w:tc>
          <w:tcPr>
            <w:tcW w:type="dxa" w:w="960"/>
          </w:tcPr>
          <w:p>
            <w:r>
              <w:t>94.79%</w:t>
            </w:r>
          </w:p>
        </w:tc>
      </w:tr>
      <w:tr>
        <w:tc>
          <w:tcPr>
            <w:tcW w:type="dxa" w:w="960"/>
          </w:tcPr>
          <w:p>
            <w:r>
              <w:t>Cost of other raw materials and</w:t>
              <w:br/>
              <w:t>components consumed (B)</w:t>
            </w:r>
          </w:p>
        </w:tc>
        <w:tc>
          <w:tcPr>
            <w:tcW w:type="dxa" w:w="960"/>
          </w:tcPr>
          <w:p>
            <w:r>
              <w:t>203.18</w:t>
            </w:r>
          </w:p>
        </w:tc>
        <w:tc>
          <w:tcPr>
            <w:tcW w:type="dxa" w:w="960"/>
          </w:tcPr>
          <w:p>
            <w:r>
              <w:t>3.99%</w:t>
            </w:r>
          </w:p>
        </w:tc>
        <w:tc>
          <w:tcPr>
            <w:tcW w:type="dxa" w:w="960"/>
          </w:tcPr>
          <w:p>
            <w:r>
              <w:t>748.23</w:t>
            </w:r>
          </w:p>
        </w:tc>
        <w:tc>
          <w:tcPr>
            <w:tcW w:type="dxa" w:w="960"/>
          </w:tcPr>
          <w:p>
            <w:r>
              <w:t>4.30%</w:t>
            </w:r>
          </w:p>
        </w:tc>
        <w:tc>
          <w:tcPr>
            <w:tcW w:type="dxa" w:w="960"/>
          </w:tcPr>
          <w:p>
            <w:r>
              <w:t>628.85</w:t>
            </w:r>
          </w:p>
        </w:tc>
        <w:tc>
          <w:tcPr>
            <w:tcW w:type="dxa" w:w="960"/>
          </w:tcPr>
          <w:p>
            <w:r>
              <w:t>5.03%</w:t>
            </w:r>
          </w:p>
        </w:tc>
        <w:tc>
          <w:tcPr>
            <w:tcW w:type="dxa" w:w="960"/>
          </w:tcPr>
          <w:p>
            <w:r>
              <w:t>492.56</w:t>
            </w:r>
          </w:p>
        </w:tc>
        <w:tc>
          <w:tcPr>
            <w:tcW w:type="dxa" w:w="960"/>
          </w:tcPr>
          <w:p>
            <w:r>
              <w:t>5.21%</w:t>
            </w:r>
          </w:p>
        </w:tc>
      </w:tr>
      <w:tr>
        <w:tc>
          <w:tcPr>
            <w:tcW w:type="dxa" w:w="960"/>
          </w:tcPr>
          <w:p>
            <w:r>
              <w:t>Total cost of raw materials</w:t>
              <w:br/>
              <w:t>and</w:t>
            </w:r>
          </w:p>
        </w:tc>
        <w:tc>
          <w:tcPr>
            <w:tcW w:type="dxa" w:w="960"/>
          </w:tcPr>
          <w:p>
            <w:r>
              <w:t>5,094.36</w:t>
            </w:r>
          </w:p>
        </w:tc>
        <w:tc>
          <w:tcPr>
            <w:tcW w:type="dxa" w:w="960"/>
          </w:tcPr>
          <w:p>
            <w:r>
              <w:t>100.00%</w:t>
            </w:r>
          </w:p>
        </w:tc>
        <w:tc>
          <w:tcPr>
            <w:tcW w:type="dxa" w:w="960"/>
          </w:tcPr>
          <w:p>
            <w:r>
              <w:t>17,418.18</w:t>
            </w:r>
          </w:p>
        </w:tc>
        <w:tc>
          <w:tcPr>
            <w:tcW w:type="dxa" w:w="960"/>
          </w:tcPr>
          <w:p>
            <w:r>
              <w:t>100.00%</w:t>
            </w:r>
          </w:p>
        </w:tc>
        <w:tc>
          <w:tcPr>
            <w:tcW w:type="dxa" w:w="960"/>
          </w:tcPr>
          <w:p>
            <w:r>
              <w:t>12,514.10</w:t>
            </w:r>
          </w:p>
        </w:tc>
        <w:tc>
          <w:tcPr>
            <w:tcW w:type="dxa" w:w="960"/>
          </w:tcPr>
          <w:p>
            <w:r>
              <w:t>100.00%</w:t>
            </w:r>
          </w:p>
        </w:tc>
        <w:tc>
          <w:tcPr>
            <w:tcW w:type="dxa" w:w="960"/>
          </w:tcPr>
          <w:p>
            <w:r>
              <w:t>9,449.56</w:t>
            </w:r>
          </w:p>
        </w:tc>
        <w:tc>
          <w:tcPr>
            <w:tcW w:type="dxa" w:w="960"/>
          </w:tcPr>
          <w:p>
            <w:r>
              <w:t>100.00%</w:t>
            </w:r>
          </w:p>
        </w:tc>
      </w:tr>
    </w:tbl>
    <w:p>
      <w:pPr>
        <w:pStyle w:val="BodyText"/>
      </w:pPr>
    </w:p>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br/>
              <w:t>Particulars</w:t>
            </w:r>
          </w:p>
        </w:tc>
        <w:tc>
          <w:tcPr>
            <w:tcW w:type="dxa" w:w="1920"/>
            <w:gridSpan w:val="2"/>
          </w:tcPr>
          <w:p>
            <w:r>
              <w:t>Three-month</w:t>
              <w:tab/>
              <w:t>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br/>
              <w:t>Particulars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r>
      <w:tr>
        <w:tc>
          <w:tcPr>
            <w:tcW w:type="dxa" w:w="960"/>
          </w:tcPr>
          <w:p>
            <w:r>
              <w:t>components consumed</w:t>
              <w:br/>
              <w:t>(A+B)</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p>
      <w:pPr>
        <w:pStyle w:val="BodyText"/>
      </w:pPr>
    </w:p>
    <w:p>
      <w:pPr>
        <w:pStyle w:val="BodyText"/>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pPr>
        <w:pStyle w:val="BodyText"/>
      </w:pP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1920"/>
            <w:gridSpan w:val="2"/>
          </w:tcPr>
          <w:p>
            <w:r>
              <w:t>Three-month 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p>
        </w:tc>
        <w:tc>
          <w:tcPr>
            <w:tcW w:type="dxa" w:w="960"/>
          </w:tcPr>
          <w:p>
            <w:r>
              <w:t>Amount</w:t>
              <w:br/>
              <w:t>(₹ in million)</w:t>
            </w:r>
          </w:p>
        </w:tc>
        <w:tc>
          <w:tcPr>
            <w:tcW w:type="dxa" w:w="960"/>
          </w:tcPr>
          <w:p>
            <w:r>
              <w:t>% of expenses</w:t>
            </w:r>
          </w:p>
        </w:tc>
        <w:tc>
          <w:tcPr>
            <w:tcW w:type="dxa" w:w="960"/>
          </w:tcPr>
          <w:p>
            <w:r>
              <w:t>Amount</w:t>
              <w:br/>
              <w:t>(₹ in</w:t>
              <w:br/>
              <w:t>million)</w:t>
            </w:r>
          </w:p>
        </w:tc>
        <w:tc>
          <w:tcPr>
            <w:tcW w:type="dxa" w:w="960"/>
          </w:tcPr>
          <w:p>
            <w:r>
              <w:t>% of expenses</w:t>
            </w:r>
          </w:p>
        </w:tc>
        <w:tc>
          <w:tcPr>
            <w:tcW w:type="dxa" w:w="960"/>
          </w:tcPr>
          <w:p>
            <w:r>
              <w:t>Amount</w:t>
              <w:br/>
              <w:t>(₹ in million)</w:t>
            </w:r>
          </w:p>
        </w:tc>
        <w:tc>
          <w:tcPr>
            <w:tcW w:type="dxa" w:w="960"/>
          </w:tcPr>
          <w:p>
            <w:r>
              <w:t>% of expenses</w:t>
            </w:r>
          </w:p>
        </w:tc>
        <w:tc>
          <w:tcPr>
            <w:tcW w:type="dxa" w:w="960"/>
          </w:tcPr>
          <w:p>
            <w:r>
              <w:t>Amount</w:t>
              <w:br/>
              <w:t>(₹ in</w:t>
              <w:br/>
              <w:t>million)</w:t>
            </w:r>
          </w:p>
        </w:tc>
        <w:tc>
          <w:tcPr>
            <w:tcW w:type="dxa" w:w="960"/>
          </w:tcPr>
          <w:p>
            <w:r>
              <w:t>% of expenses</w:t>
            </w:r>
          </w:p>
        </w:tc>
      </w:tr>
      <w:tr>
        <w:tc>
          <w:tcPr>
            <w:tcW w:type="dxa" w:w="960"/>
          </w:tcPr>
          <w:p>
            <w:r>
              <w:t>Domestic suppliers</w:t>
            </w:r>
          </w:p>
        </w:tc>
        <w:tc>
          <w:tcPr>
            <w:tcW w:type="dxa" w:w="960"/>
          </w:tcPr>
          <w:p>
            <w:r>
              <w:t>2,800.29</w:t>
            </w:r>
          </w:p>
        </w:tc>
        <w:tc>
          <w:tcPr>
            <w:tcW w:type="dxa" w:w="960"/>
          </w:tcPr>
          <w:p>
            <w:r>
              <w:t>54.97%</w:t>
            </w:r>
          </w:p>
        </w:tc>
        <w:tc>
          <w:tcPr>
            <w:tcW w:type="dxa" w:w="960"/>
          </w:tcPr>
          <w:p>
            <w:r>
              <w:t>10,671.66</w:t>
            </w:r>
          </w:p>
        </w:tc>
        <w:tc>
          <w:tcPr>
            <w:tcW w:type="dxa" w:w="960"/>
          </w:tcPr>
          <w:p>
            <w:r>
              <w:t>61.27%</w:t>
            </w:r>
          </w:p>
        </w:tc>
        <w:tc>
          <w:tcPr>
            <w:tcW w:type="dxa" w:w="960"/>
          </w:tcPr>
          <w:p>
            <w:r>
              <w:t>9,837.40</w:t>
            </w:r>
          </w:p>
        </w:tc>
        <w:tc>
          <w:tcPr>
            <w:tcW w:type="dxa" w:w="960"/>
          </w:tcPr>
          <w:p>
            <w:r>
              <w:t>78.61%</w:t>
            </w:r>
          </w:p>
        </w:tc>
        <w:tc>
          <w:tcPr>
            <w:tcW w:type="dxa" w:w="960"/>
          </w:tcPr>
          <w:p>
            <w:r>
              <w:t>6,472.40</w:t>
            </w:r>
          </w:p>
        </w:tc>
        <w:tc>
          <w:tcPr>
            <w:tcW w:type="dxa" w:w="960"/>
          </w:tcPr>
          <w:p>
            <w:r>
              <w:t>68.49%</w:t>
            </w:r>
          </w:p>
        </w:tc>
      </w:tr>
      <w:tr>
        <w:tc>
          <w:tcPr>
            <w:tcW w:type="dxa" w:w="960"/>
          </w:tcPr>
          <w:p>
            <w:r>
              <w:t>Suppliers from outside</w:t>
              <w:br/>
              <w:t>India</w:t>
            </w:r>
          </w:p>
        </w:tc>
        <w:tc>
          <w:tcPr>
            <w:tcW w:type="dxa" w:w="960"/>
          </w:tcPr>
          <w:p>
            <w:r>
              <w:t>2,294.06</w:t>
            </w:r>
          </w:p>
        </w:tc>
        <w:tc>
          <w:tcPr>
            <w:tcW w:type="dxa" w:w="960"/>
          </w:tcPr>
          <w:p>
            <w:r>
              <w:t>45.03%</w:t>
            </w:r>
          </w:p>
        </w:tc>
        <w:tc>
          <w:tcPr>
            <w:tcW w:type="dxa" w:w="960"/>
          </w:tcPr>
          <w:p>
            <w:r>
              <w:t>6,746.51</w:t>
            </w:r>
          </w:p>
        </w:tc>
        <w:tc>
          <w:tcPr>
            <w:tcW w:type="dxa" w:w="960"/>
          </w:tcPr>
          <w:p>
            <w:r>
              <w:t>38.73%</w:t>
            </w:r>
          </w:p>
        </w:tc>
        <w:tc>
          <w:tcPr>
            <w:tcW w:type="dxa" w:w="960"/>
          </w:tcPr>
          <w:p>
            <w:r>
              <w:t>2,676.70</w:t>
            </w:r>
          </w:p>
        </w:tc>
        <w:tc>
          <w:tcPr>
            <w:tcW w:type="dxa" w:w="960"/>
          </w:tcPr>
          <w:p>
            <w:r>
              <w:t>21.39%</w:t>
            </w:r>
          </w:p>
        </w:tc>
        <w:tc>
          <w:tcPr>
            <w:tcW w:type="dxa" w:w="960"/>
          </w:tcPr>
          <w:p>
            <w:r>
              <w:t>2,977.16</w:t>
            </w:r>
          </w:p>
        </w:tc>
        <w:tc>
          <w:tcPr>
            <w:tcW w:type="dxa" w:w="960"/>
          </w:tcPr>
          <w:p>
            <w:r>
              <w:t>31.51%</w:t>
            </w:r>
          </w:p>
        </w:tc>
      </w:tr>
      <w:tr>
        <w:tc>
          <w:tcPr>
            <w:tcW w:type="dxa" w:w="960"/>
          </w:tcPr>
          <w:p>
            <w:r>
              <w:t>Total</w:t>
            </w:r>
          </w:p>
        </w:tc>
        <w:tc>
          <w:tcPr>
            <w:tcW w:type="dxa" w:w="960"/>
          </w:tcPr>
          <w:p>
            <w:r>
              <w:t>5,094.36</w:t>
            </w:r>
          </w:p>
        </w:tc>
        <w:tc>
          <w:tcPr>
            <w:tcW w:type="dxa" w:w="960"/>
          </w:tcPr>
          <w:p>
            <w:r>
              <w:t>100.00%</w:t>
            </w:r>
          </w:p>
        </w:tc>
        <w:tc>
          <w:tcPr>
            <w:tcW w:type="dxa" w:w="960"/>
          </w:tcPr>
          <w:p>
            <w:r>
              <w:t>17,418.18</w:t>
            </w:r>
          </w:p>
        </w:tc>
        <w:tc>
          <w:tcPr>
            <w:tcW w:type="dxa" w:w="960"/>
          </w:tcPr>
          <w:p>
            <w:r>
              <w:t>100.00%</w:t>
            </w:r>
          </w:p>
        </w:tc>
        <w:tc>
          <w:tcPr>
            <w:tcW w:type="dxa" w:w="960"/>
          </w:tcPr>
          <w:p>
            <w:r>
              <w:t>12,514.10</w:t>
            </w:r>
          </w:p>
        </w:tc>
        <w:tc>
          <w:tcPr>
            <w:tcW w:type="dxa" w:w="960"/>
          </w:tcPr>
          <w:p>
            <w:r>
              <w:t>100.00%</w:t>
            </w:r>
          </w:p>
        </w:tc>
        <w:tc>
          <w:tcPr>
            <w:tcW w:type="dxa" w:w="960"/>
          </w:tcPr>
          <w:p>
            <w:r>
              <w:t>9,449.56</w:t>
            </w:r>
          </w:p>
        </w:tc>
        <w:tc>
          <w:tcPr>
            <w:tcW w:type="dxa" w:w="960"/>
          </w:tcPr>
          <w:p>
            <w:r>
              <w:t>100.00%</w:t>
            </w:r>
          </w:p>
        </w:tc>
      </w:tr>
    </w:tbl>
    <w:p>
      <w:pPr>
        <w:pStyle w:val="BodyText"/>
      </w:pPr>
    </w:p>
    <w:p>
      <w:pPr>
        <w:pStyle w:val="BodyText"/>
      </w:pPr>
    </w:p>
    <w:p>
      <w:pPr>
        <w:pStyle w:val="BodyText"/>
      </w:pPr>
      <w:r>
        <w:t>Set out below is the contribution of our suppliers from Gujarat and in UAE for the three-month period ended June 30, 2025, and Fiscals 2025, 2024, and 2023:</w:t>
      </w:r>
    </w:p>
    <w:p>
      <w:pPr>
        <w:pStyle w:val="BodyText"/>
      </w:pP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1920"/>
            <w:gridSpan w:val="2"/>
          </w:tcPr>
          <w:p>
            <w:r>
              <w:t>Three-month 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t>Particulars</w:t>
            </w:r>
          </w:p>
        </w:tc>
        <w:tc>
          <w:tcPr>
            <w:tcW w:type="dxa" w:w="960"/>
          </w:tcPr>
          <w:p>
            <w:r>
              <w:t>Amount (₹ in million)</w:t>
            </w:r>
          </w:p>
        </w:tc>
        <w:tc>
          <w:tcPr>
            <w:tcW w:type="dxa" w:w="960"/>
          </w:tcPr>
          <w:p>
            <w:r>
              <w:t>% of total cost of raw materials and components purchased</w:t>
            </w:r>
          </w:p>
        </w:tc>
        <w:tc>
          <w:tcPr>
            <w:tcW w:type="dxa" w:w="960"/>
          </w:tcPr>
          <w:p>
            <w:r>
              <w:t>Amount (₹ in million)</w:t>
            </w:r>
          </w:p>
        </w:tc>
        <w:tc>
          <w:tcPr>
            <w:tcW w:type="dxa" w:w="960"/>
          </w:tcPr>
          <w:p>
            <w:r>
              <w:t>% of total cost of raw materials and components purchased</w:t>
            </w:r>
          </w:p>
        </w:tc>
        <w:tc>
          <w:tcPr>
            <w:tcW w:type="dxa" w:w="960"/>
          </w:tcPr>
          <w:p>
            <w:r>
              <w:t>Amount (₹ in million)</w:t>
            </w:r>
          </w:p>
        </w:tc>
        <w:tc>
          <w:tcPr>
            <w:tcW w:type="dxa" w:w="960"/>
          </w:tcPr>
          <w:p>
            <w:r>
              <w:t>% of total cost of raw materials and components purchased</w:t>
            </w:r>
          </w:p>
        </w:tc>
        <w:tc>
          <w:tcPr>
            <w:tcW w:type="dxa" w:w="960"/>
          </w:tcPr>
          <w:p>
            <w:r>
              <w:t>Amount (₹ in million)</w:t>
            </w:r>
          </w:p>
        </w:tc>
        <w:tc>
          <w:tcPr>
            <w:tcW w:type="dxa" w:w="960"/>
          </w:tcPr>
          <w:p>
            <w:r>
              <w:t>% of total cost of raw materials and components</w:t>
              <w:br/>
              <w:t>purchased</w:t>
            </w:r>
          </w:p>
        </w:tc>
      </w:tr>
      <w:tr>
        <w:tc>
          <w:tcPr>
            <w:tcW w:type="dxa" w:w="960"/>
          </w:tcPr>
          <w:p>
            <w:r>
              <w:t>Gujarat</w:t>
            </w:r>
          </w:p>
        </w:tc>
        <w:tc>
          <w:tcPr>
            <w:tcW w:type="dxa" w:w="960"/>
          </w:tcPr>
          <w:p>
            <w:r>
              <w:t>225.95</w:t>
            </w:r>
          </w:p>
        </w:tc>
        <w:tc>
          <w:tcPr>
            <w:tcW w:type="dxa" w:w="960"/>
          </w:tcPr>
          <w:p>
            <w:r>
              <w:t>4.41%</w:t>
            </w:r>
          </w:p>
        </w:tc>
        <w:tc>
          <w:tcPr>
            <w:tcW w:type="dxa" w:w="960"/>
          </w:tcPr>
          <w:p>
            <w:r>
              <w:t>8,698.99</w:t>
            </w:r>
          </w:p>
        </w:tc>
        <w:tc>
          <w:tcPr>
            <w:tcW w:type="dxa" w:w="960"/>
          </w:tcPr>
          <w:p>
            <w:r>
              <w:t>48.88%</w:t>
            </w:r>
          </w:p>
        </w:tc>
        <w:tc>
          <w:tcPr>
            <w:tcW w:type="dxa" w:w="960"/>
          </w:tcPr>
          <w:p>
            <w:r>
              <w:t>7,578.49</w:t>
            </w:r>
          </w:p>
        </w:tc>
        <w:tc>
          <w:tcPr>
            <w:tcW w:type="dxa" w:w="960"/>
          </w:tcPr>
          <w:p>
            <w:r>
              <w:t>60.37%</w:t>
            </w:r>
          </w:p>
        </w:tc>
        <w:tc>
          <w:tcPr>
            <w:tcW w:type="dxa" w:w="960"/>
          </w:tcPr>
          <w:p>
            <w:r>
              <w:t>2,977.48</w:t>
            </w:r>
          </w:p>
        </w:tc>
        <w:tc>
          <w:tcPr>
            <w:tcW w:type="dxa" w:w="960"/>
          </w:tcPr>
          <w:p>
            <w:r>
              <w:t>31.51%</w:t>
            </w:r>
          </w:p>
        </w:tc>
      </w:tr>
      <w:tr>
        <w:tc>
          <w:tcPr>
            <w:tcW w:type="dxa" w:w="960"/>
          </w:tcPr>
          <w:p>
            <w:r>
              <w:t>UAE</w:t>
            </w:r>
          </w:p>
        </w:tc>
        <w:tc>
          <w:tcPr>
            <w:tcW w:type="dxa" w:w="960"/>
          </w:tcPr>
          <w:p>
            <w:r>
              <w:t>2,119.68</w:t>
            </w:r>
          </w:p>
        </w:tc>
        <w:tc>
          <w:tcPr>
            <w:tcW w:type="dxa" w:w="960"/>
          </w:tcPr>
          <w:p>
            <w:r>
              <w:t>41.41%</w:t>
            </w:r>
          </w:p>
        </w:tc>
        <w:tc>
          <w:tcPr>
            <w:tcW w:type="dxa" w:w="960"/>
          </w:tcPr>
          <w:p>
            <w:r>
              <w:t>6,856.58</w:t>
            </w:r>
          </w:p>
        </w:tc>
        <w:tc>
          <w:tcPr>
            <w:tcW w:type="dxa" w:w="960"/>
          </w:tcPr>
          <w:p>
            <w:r>
              <w:t>38.52%</w:t>
            </w:r>
          </w:p>
        </w:tc>
        <w:tc>
          <w:tcPr>
            <w:tcW w:type="dxa" w:w="960"/>
          </w:tcPr>
          <w:p>
            <w:r>
              <w:t>2,488.83</w:t>
            </w:r>
          </w:p>
        </w:tc>
        <w:tc>
          <w:tcPr>
            <w:tcW w:type="dxa" w:w="960"/>
          </w:tcPr>
          <w:p>
            <w:r>
              <w:t>19.83%</w:t>
            </w:r>
          </w:p>
        </w:tc>
        <w:tc>
          <w:tcPr>
            <w:tcW w:type="dxa" w:w="960"/>
          </w:tcPr>
          <w:p>
            <w:r>
              <w:t>2,970.67</w:t>
            </w:r>
          </w:p>
        </w:tc>
        <w:tc>
          <w:tcPr>
            <w:tcW w:type="dxa" w:w="960"/>
          </w:tcPr>
          <w:p>
            <w:r>
              <w:t>31.44%</w:t>
            </w:r>
          </w:p>
        </w:tc>
      </w:tr>
      <w:tr>
        <w:tc>
          <w:tcPr>
            <w:tcW w:type="dxa" w:w="960"/>
          </w:tcPr>
          <w:p>
            <w:r>
              <w:t>Total</w:t>
            </w:r>
          </w:p>
        </w:tc>
        <w:tc>
          <w:tcPr>
            <w:tcW w:type="dxa" w:w="960"/>
          </w:tcPr>
          <w:p>
            <w:r>
              <w:t>2,345.63</w:t>
            </w:r>
          </w:p>
        </w:tc>
        <w:tc>
          <w:tcPr>
            <w:tcW w:type="dxa" w:w="960"/>
          </w:tcPr>
          <w:p>
            <w:r>
              <w:t>45.82%</w:t>
            </w:r>
          </w:p>
        </w:tc>
        <w:tc>
          <w:tcPr>
            <w:tcW w:type="dxa" w:w="960"/>
          </w:tcPr>
          <w:p>
            <w:r>
              <w:t>15,555.57</w:t>
            </w:r>
          </w:p>
        </w:tc>
        <w:tc>
          <w:tcPr>
            <w:tcW w:type="dxa" w:w="960"/>
          </w:tcPr>
          <w:p>
            <w:r>
              <w:t>87.40%</w:t>
            </w:r>
          </w:p>
        </w:tc>
        <w:tc>
          <w:tcPr>
            <w:tcW w:type="dxa" w:w="960"/>
          </w:tcPr>
          <w:p>
            <w:r>
              <w:t>10,067.32</w:t>
            </w:r>
          </w:p>
        </w:tc>
        <w:tc>
          <w:tcPr>
            <w:tcW w:type="dxa" w:w="960"/>
          </w:tcPr>
          <w:p>
            <w:r>
              <w:t>80.20%</w:t>
            </w:r>
          </w:p>
        </w:tc>
        <w:tc>
          <w:tcPr>
            <w:tcW w:type="dxa" w:w="960"/>
          </w:tcPr>
          <w:p>
            <w:r>
              <w:t>5,948.15</w:t>
            </w:r>
          </w:p>
        </w:tc>
        <w:tc>
          <w:tcPr>
            <w:tcW w:type="dxa" w:w="960"/>
          </w:tcPr>
          <w:p>
            <w:r>
              <w:t>62.95%</w:t>
            </w:r>
          </w:p>
        </w:tc>
      </w:tr>
    </w:tbl>
    <w:p>
      <w:pPr>
        <w:pStyle w:val="BodyText"/>
      </w:pPr>
    </w:p>
    <w:p>
      <w:pPr>
        <w:pStyle w:val="BodyText"/>
      </w:pPr>
    </w:p>
    <w:p>
      <w:pPr>
        <w:pStyle w:val="BodyText"/>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4"/>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Text"/>
      </w:pPr>
      <w:r>
        <w:t>We are dependent on our customers from the Power Sector for a significant portion of our operating revenue. Set out below are details of our operating revenue generated from each of the industries that we cater to, for the period/ Fiscals indicated:</w:t>
      </w:r>
    </w:p>
    <w:p>
      <w:pPr>
        <w:pStyle w:val="BodyText"/>
      </w:pP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End-user industry</w:t>
            </w:r>
          </w:p>
        </w:tc>
        <w:tc>
          <w:tcPr>
            <w:tcW w:type="dxa" w:w="1920"/>
            <w:gridSpan w:val="2"/>
          </w:tcPr>
          <w:p>
            <w:r>
              <w:t>Three-month 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t>End-user industry</w:t>
            </w:r>
          </w:p>
        </w:tc>
        <w:tc>
          <w:tcPr>
            <w:tcW w:type="dxa" w:w="960"/>
          </w:tcPr>
          <w:p>
            <w:r>
              <w:t>Amount (₹ in million)</w:t>
            </w:r>
          </w:p>
        </w:tc>
        <w:tc>
          <w:tcPr>
            <w:tcW w:type="dxa" w:w="960"/>
          </w:tcPr>
          <w:p>
            <w:r>
              <w:t>% of operating</w:t>
              <w:br/>
              <w:t>revenue</w:t>
            </w:r>
          </w:p>
        </w:tc>
        <w:tc>
          <w:tcPr>
            <w:tcW w:type="dxa" w:w="960"/>
          </w:tcPr>
          <w:p>
            <w:r>
              <w:t>Amount (₹ in million)</w:t>
            </w:r>
          </w:p>
        </w:tc>
        <w:tc>
          <w:tcPr>
            <w:tcW w:type="dxa" w:w="960"/>
          </w:tcPr>
          <w:p>
            <w:r>
              <w:t>% of operating</w:t>
              <w:br/>
              <w:t>revenue</w:t>
            </w:r>
          </w:p>
        </w:tc>
        <w:tc>
          <w:tcPr>
            <w:tcW w:type="dxa" w:w="960"/>
          </w:tcPr>
          <w:p>
            <w:r>
              <w:t>Amount (₹ in</w:t>
              <w:br/>
              <w:t>million)</w:t>
            </w:r>
          </w:p>
        </w:tc>
        <w:tc>
          <w:tcPr>
            <w:tcW w:type="dxa" w:w="960"/>
          </w:tcPr>
          <w:p>
            <w:r>
              <w:t>% of operating</w:t>
              <w:br/>
              <w:t>revenue</w:t>
            </w:r>
          </w:p>
        </w:tc>
        <w:tc>
          <w:tcPr>
            <w:tcW w:type="dxa" w:w="960"/>
          </w:tcPr>
          <w:p>
            <w:r>
              <w:t>Amount (₹ in million)</w:t>
            </w:r>
          </w:p>
        </w:tc>
        <w:tc>
          <w:tcPr>
            <w:tcW w:type="dxa" w:w="960"/>
          </w:tcPr>
          <w:p>
            <w:r>
              <w:t>% of operating</w:t>
              <w:br/>
              <w:t>revenue</w:t>
            </w:r>
          </w:p>
        </w:tc>
      </w:tr>
      <w:tr>
        <w:tc>
          <w:tcPr>
            <w:tcW w:type="dxa" w:w="960"/>
          </w:tcPr>
          <w:p>
            <w:r>
              <w:t>Power Sector</w:t>
            </w:r>
          </w:p>
        </w:tc>
        <w:tc>
          <w:tcPr>
            <w:tcW w:type="dxa" w:w="960"/>
          </w:tcPr>
          <w:p>
            <w:r>
              <w:t>3,798.10</w:t>
            </w:r>
          </w:p>
        </w:tc>
        <w:tc>
          <w:tcPr>
            <w:tcW w:type="dxa" w:w="960"/>
          </w:tcPr>
          <w:p>
            <w:r>
              <w:t>71.73%</w:t>
            </w:r>
          </w:p>
        </w:tc>
        <w:tc>
          <w:tcPr>
            <w:tcW w:type="dxa" w:w="960"/>
          </w:tcPr>
          <w:p>
            <w:r>
              <w:t>13,502.66</w:t>
            </w:r>
          </w:p>
        </w:tc>
        <w:tc>
          <w:tcPr>
            <w:tcW w:type="dxa" w:w="960"/>
          </w:tcPr>
          <w:p>
            <w:r>
              <w:t>74.79%</w:t>
            </w:r>
          </w:p>
        </w:tc>
        <w:tc>
          <w:tcPr>
            <w:tcW w:type="dxa" w:w="960"/>
          </w:tcPr>
          <w:p>
            <w:r>
              <w:t>9,642.92</w:t>
            </w:r>
          </w:p>
        </w:tc>
        <w:tc>
          <w:tcPr>
            <w:tcW w:type="dxa" w:w="960"/>
          </w:tcPr>
          <w:p>
            <w:r>
              <w:t>75.17%</w:t>
            </w:r>
          </w:p>
        </w:tc>
        <w:tc>
          <w:tcPr>
            <w:tcW w:type="dxa" w:w="960"/>
          </w:tcPr>
          <w:p>
            <w:r>
              <w:t>7,652.26</w:t>
            </w:r>
          </w:p>
        </w:tc>
        <w:tc>
          <w:tcPr>
            <w:tcW w:type="dxa" w:w="960"/>
          </w:tcPr>
          <w:p>
            <w:r>
              <w:t>79.08%</w:t>
            </w:r>
          </w:p>
        </w:tc>
      </w:tr>
      <w:tr>
        <w:tc>
          <w:tcPr>
            <w:tcW w:type="dxa" w:w="960"/>
          </w:tcPr>
          <w:p>
            <w:r>
              <w:t>Others*</w:t>
            </w:r>
          </w:p>
        </w:tc>
        <w:tc>
          <w:tcPr>
            <w:tcW w:type="dxa" w:w="960"/>
          </w:tcPr>
          <w:p>
            <w:r>
              <w:t>1,496.93</w:t>
            </w:r>
          </w:p>
        </w:tc>
        <w:tc>
          <w:tcPr>
            <w:tcW w:type="dxa" w:w="960"/>
          </w:tcPr>
          <w:p>
            <w:r>
              <w:t>28.27%</w:t>
            </w:r>
          </w:p>
        </w:tc>
        <w:tc>
          <w:tcPr>
            <w:tcW w:type="dxa" w:w="960"/>
          </w:tcPr>
          <w:p>
            <w:r>
              <w:t>4,550.79</w:t>
            </w:r>
          </w:p>
        </w:tc>
        <w:tc>
          <w:tcPr>
            <w:tcW w:type="dxa" w:w="960"/>
          </w:tcPr>
          <w:p>
            <w:r>
              <w:t>25.21%</w:t>
            </w:r>
          </w:p>
        </w:tc>
        <w:tc>
          <w:tcPr>
            <w:tcW w:type="dxa" w:w="960"/>
          </w:tcPr>
          <w:p>
            <w:r>
              <w:t>3,185.92</w:t>
            </w:r>
          </w:p>
        </w:tc>
        <w:tc>
          <w:tcPr>
            <w:tcW w:type="dxa" w:w="960"/>
          </w:tcPr>
          <w:p>
            <w:r>
              <w:t>24.83%</w:t>
            </w:r>
          </w:p>
        </w:tc>
        <w:tc>
          <w:tcPr>
            <w:tcW w:type="dxa" w:w="960"/>
          </w:tcPr>
          <w:p>
            <w:r>
              <w:t>2,023.98</w:t>
            </w:r>
          </w:p>
        </w:tc>
        <w:tc>
          <w:tcPr>
            <w:tcW w:type="dxa" w:w="960"/>
          </w:tcPr>
          <w:p>
            <w:r>
              <w:t>20.92%</w:t>
            </w:r>
          </w:p>
        </w:tc>
      </w:tr>
    </w:tbl>
    <w:p>
      <w:pPr>
        <w:pStyle w:val="BodyText"/>
      </w:pPr>
    </w:p>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End-user industry</w:t>
            </w:r>
          </w:p>
        </w:tc>
        <w:tc>
          <w:tcPr>
            <w:tcW w:type="dxa" w:w="1920"/>
            <w:gridSpan w:val="2"/>
          </w:tcPr>
          <w:p>
            <w:r>
              <w:t>Three-month 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t>End-user industry</w:t>
            </w:r>
          </w:p>
        </w:tc>
        <w:tc>
          <w:tcPr>
            <w:tcW w:type="dxa" w:w="960"/>
          </w:tcPr>
          <w:p>
            <w:r>
              <w:t>Amount (₹ in million)</w:t>
            </w:r>
          </w:p>
        </w:tc>
        <w:tc>
          <w:tcPr>
            <w:tcW w:type="dxa" w:w="960"/>
          </w:tcPr>
          <w:p>
            <w:r>
              <w:t>% of</w:t>
              <w:br/>
              <w:t>operating revenue</w:t>
            </w:r>
          </w:p>
        </w:tc>
        <w:tc>
          <w:tcPr>
            <w:tcW w:type="dxa" w:w="960"/>
          </w:tcPr>
          <w:p>
            <w:r>
              <w:t>Amount (₹ in million)</w:t>
            </w:r>
          </w:p>
        </w:tc>
        <w:tc>
          <w:tcPr>
            <w:tcW w:type="dxa" w:w="960"/>
          </w:tcPr>
          <w:p>
            <w:r>
              <w:t>% of</w:t>
              <w:br/>
              <w:t>operating revenue</w:t>
            </w:r>
          </w:p>
        </w:tc>
        <w:tc>
          <w:tcPr>
            <w:tcW w:type="dxa" w:w="960"/>
          </w:tcPr>
          <w:p>
            <w:r>
              <w:t>Amount</w:t>
              <w:br/>
              <w:t>(₹ in million)</w:t>
            </w:r>
          </w:p>
        </w:tc>
        <w:tc>
          <w:tcPr>
            <w:tcW w:type="dxa" w:w="960"/>
          </w:tcPr>
          <w:p>
            <w:r>
              <w:t>% of</w:t>
              <w:br/>
              <w:t>operating revenue</w:t>
            </w:r>
          </w:p>
        </w:tc>
        <w:tc>
          <w:tcPr>
            <w:tcW w:type="dxa" w:w="960"/>
          </w:tcPr>
          <w:p>
            <w:r>
              <w:t>Amount (₹ in million)</w:t>
            </w:r>
          </w:p>
        </w:tc>
        <w:tc>
          <w:tcPr>
            <w:tcW w:type="dxa" w:w="960"/>
          </w:tcPr>
          <w:p>
            <w:r>
              <w:t>% of</w:t>
              <w:br/>
              <w:t>operating revenue</w:t>
            </w:r>
          </w:p>
        </w:tc>
      </w:tr>
      <w:tr>
        <w:tc>
          <w:tcPr>
            <w:tcW w:type="dxa" w:w="960"/>
          </w:tcPr>
          <w:p>
            <w:r>
              <w:t>Total#</w:t>
            </w:r>
          </w:p>
        </w:tc>
        <w:tc>
          <w:tcPr>
            <w:tcW w:type="dxa" w:w="960"/>
          </w:tcPr>
          <w:p>
            <w:r>
              <w:t>5,295.03</w:t>
            </w:r>
          </w:p>
        </w:tc>
        <w:tc>
          <w:tcPr>
            <w:tcW w:type="dxa" w:w="960"/>
          </w:tcPr>
          <w:p>
            <w:r>
              <w:t>100.00%</w:t>
            </w:r>
          </w:p>
        </w:tc>
        <w:tc>
          <w:tcPr>
            <w:tcW w:type="dxa" w:w="960"/>
          </w:tcPr>
          <w:p>
            <w:r>
              <w:t>18,053.45</w:t>
            </w:r>
          </w:p>
        </w:tc>
        <w:tc>
          <w:tcPr>
            <w:tcW w:type="dxa" w:w="960"/>
          </w:tcPr>
          <w:p>
            <w:r>
              <w:t>100.00%</w:t>
            </w:r>
          </w:p>
        </w:tc>
        <w:tc>
          <w:tcPr>
            <w:tcW w:type="dxa" w:w="960"/>
          </w:tcPr>
          <w:p>
            <w:r>
              <w:t>12,828.84</w:t>
            </w:r>
          </w:p>
        </w:tc>
        <w:tc>
          <w:tcPr>
            <w:tcW w:type="dxa" w:w="960"/>
          </w:tcPr>
          <w:p>
            <w:r>
              <w:t>100.00%</w:t>
            </w:r>
          </w:p>
        </w:tc>
        <w:tc>
          <w:tcPr>
            <w:tcW w:type="dxa" w:w="960"/>
          </w:tcPr>
          <w:p>
            <w:r>
              <w:t>9,676.24</w:t>
            </w:r>
          </w:p>
        </w:tc>
        <w:tc>
          <w:tcPr>
            <w:tcW w:type="dxa" w:w="960"/>
          </w:tcPr>
          <w:p>
            <w:r>
              <w:t>100.00%</w:t>
            </w:r>
          </w:p>
        </w:tc>
      </w:tr>
    </w:tbl>
    <w:p/>
    <w:p>
      <w:r>
        <w:t>* Others include industrials, automotives (EV and ICE), home appliances, refrigeration and air conditioning.</w:t>
      </w:r>
    </w:p>
    <w:p>
      <w:r>
        <w:t># Excludes other operating income including income from scrap and income from remission of duties and taxes on export products.</w:t>
      </w:r>
    </w:p>
    <w:p>
      <w:pPr>
        <w:pStyle w:val="BodyText"/>
      </w:pPr>
    </w:p>
    <w:p>
      <w:pPr>
        <w:pStyle w:val="BodyText"/>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4"/>
      </w:pPr>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Text"/>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Text"/>
      </w:pP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Products</w:t>
            </w:r>
          </w:p>
        </w:tc>
        <w:tc>
          <w:tcPr>
            <w:tcW w:type="dxa" w:w="1920"/>
            <w:gridSpan w:val="2"/>
          </w:tcPr>
          <w:p>
            <w:r>
              <w:t>Three-month 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t>Products</w:t>
            </w:r>
          </w:p>
        </w:tc>
        <w:tc>
          <w:tcPr>
            <w:tcW w:type="dxa" w:w="960"/>
          </w:tcPr>
          <w:p>
            <w:r>
              <w:t>Amount (₹</w:t>
              <w:br/>
              <w:t>in million)</w:t>
            </w:r>
          </w:p>
        </w:tc>
        <w:tc>
          <w:tcPr>
            <w:tcW w:type="dxa" w:w="960"/>
          </w:tcPr>
          <w:p>
            <w:r>
              <w:t>% of</w:t>
              <w:br/>
              <w:t>operating revenue</w:t>
            </w:r>
          </w:p>
        </w:tc>
        <w:tc>
          <w:tcPr>
            <w:tcW w:type="dxa" w:w="960"/>
          </w:tcPr>
          <w:p>
            <w:r>
              <w:t>Amount (₹</w:t>
              <w:br/>
              <w:t>in million)</w:t>
            </w:r>
          </w:p>
        </w:tc>
        <w:tc>
          <w:tcPr>
            <w:tcW w:type="dxa" w:w="960"/>
          </w:tcPr>
          <w:p>
            <w:r>
              <w:t>% of</w:t>
              <w:br/>
              <w:t>operating revenue</w:t>
            </w:r>
          </w:p>
        </w:tc>
        <w:tc>
          <w:tcPr>
            <w:tcW w:type="dxa" w:w="960"/>
          </w:tcPr>
          <w:p>
            <w:r>
              <w:t>Amount (₹</w:t>
              <w:br/>
              <w:t>in million)</w:t>
            </w:r>
          </w:p>
        </w:tc>
        <w:tc>
          <w:tcPr>
            <w:tcW w:type="dxa" w:w="960"/>
          </w:tcPr>
          <w:p>
            <w:r>
              <w:t>% of</w:t>
              <w:br/>
              <w:t>operating revenue</w:t>
            </w:r>
          </w:p>
        </w:tc>
        <w:tc>
          <w:tcPr>
            <w:tcW w:type="dxa" w:w="960"/>
          </w:tcPr>
          <w:p>
            <w:r>
              <w:t>Amount (₹</w:t>
              <w:br/>
              <w:t>in million)</w:t>
            </w:r>
          </w:p>
        </w:tc>
        <w:tc>
          <w:tcPr>
            <w:tcW w:type="dxa" w:w="960"/>
          </w:tcPr>
          <w:p>
            <w:r>
              <w:t>% of</w:t>
              <w:br/>
              <w:t>operating revenue</w:t>
            </w:r>
          </w:p>
        </w:tc>
      </w:tr>
      <w:tr>
        <w:tc>
          <w:tcPr>
            <w:tcW w:type="dxa" w:w="960"/>
          </w:tcPr>
          <w:p>
            <w:r>
              <w:t>Specialized magnet winding wires</w:t>
            </w:r>
          </w:p>
        </w:tc>
        <w:tc>
          <w:tcPr>
            <w:tcW w:type="dxa" w:w="960"/>
          </w:tcPr>
          <w:p>
            <w:r>
              <w:t>3,798.10</w:t>
            </w:r>
          </w:p>
        </w:tc>
        <w:tc>
          <w:tcPr>
            <w:tcW w:type="dxa" w:w="960"/>
          </w:tcPr>
          <w:p>
            <w:r>
              <w:t>71.73%</w:t>
            </w:r>
          </w:p>
        </w:tc>
        <w:tc>
          <w:tcPr>
            <w:tcW w:type="dxa" w:w="960"/>
          </w:tcPr>
          <w:p>
            <w:r>
              <w:t>13,502.66</w:t>
            </w:r>
          </w:p>
        </w:tc>
        <w:tc>
          <w:tcPr>
            <w:tcW w:type="dxa" w:w="960"/>
          </w:tcPr>
          <w:p>
            <w:r>
              <w:t>74.79%</w:t>
            </w:r>
          </w:p>
        </w:tc>
        <w:tc>
          <w:tcPr>
            <w:tcW w:type="dxa" w:w="960"/>
          </w:tcPr>
          <w:p>
            <w:r>
              <w:t>9,642.92</w:t>
            </w:r>
          </w:p>
        </w:tc>
        <w:tc>
          <w:tcPr>
            <w:tcW w:type="dxa" w:w="960"/>
          </w:tcPr>
          <w:p>
            <w:r>
              <w:t>75.17%</w:t>
            </w:r>
          </w:p>
        </w:tc>
        <w:tc>
          <w:tcPr>
            <w:tcW w:type="dxa" w:w="960"/>
          </w:tcPr>
          <w:p>
            <w:r>
              <w:t>7,652.26</w:t>
            </w:r>
          </w:p>
        </w:tc>
        <w:tc>
          <w:tcPr>
            <w:tcW w:type="dxa" w:w="960"/>
          </w:tcPr>
          <w:p>
            <w:r>
              <w:t>79.08%</w:t>
            </w:r>
          </w:p>
        </w:tc>
      </w:tr>
      <w:tr>
        <w:tc>
          <w:tcPr>
            <w:tcW w:type="dxa" w:w="960"/>
          </w:tcPr>
          <w:p>
            <w:r>
              <w:t>Standard</w:t>
              <w:tab/>
              <w:t>magnet winding wires</w:t>
            </w:r>
          </w:p>
        </w:tc>
        <w:tc>
          <w:tcPr>
            <w:tcW w:type="dxa" w:w="960"/>
          </w:tcPr>
          <w:p>
            <w:r>
              <w:t>1,496.93</w:t>
            </w:r>
          </w:p>
        </w:tc>
        <w:tc>
          <w:tcPr>
            <w:tcW w:type="dxa" w:w="960"/>
          </w:tcPr>
          <w:p>
            <w:r>
              <w:t>28.27%</w:t>
            </w:r>
          </w:p>
        </w:tc>
        <w:tc>
          <w:tcPr>
            <w:tcW w:type="dxa" w:w="960"/>
          </w:tcPr>
          <w:p>
            <w:r>
              <w:t>4,550.79</w:t>
            </w:r>
          </w:p>
        </w:tc>
        <w:tc>
          <w:tcPr>
            <w:tcW w:type="dxa" w:w="960"/>
          </w:tcPr>
          <w:p>
            <w:r>
              <w:t>25.21%</w:t>
            </w:r>
          </w:p>
        </w:tc>
        <w:tc>
          <w:tcPr>
            <w:tcW w:type="dxa" w:w="960"/>
          </w:tcPr>
          <w:p>
            <w:r>
              <w:t>3,185.92</w:t>
            </w:r>
          </w:p>
        </w:tc>
        <w:tc>
          <w:tcPr>
            <w:tcW w:type="dxa" w:w="960"/>
          </w:tcPr>
          <w:p>
            <w:r>
              <w:t>24.82%</w:t>
            </w:r>
          </w:p>
        </w:tc>
        <w:tc>
          <w:tcPr>
            <w:tcW w:type="dxa" w:w="960"/>
          </w:tcPr>
          <w:p>
            <w:r>
              <w:t>2,023.98</w:t>
            </w:r>
          </w:p>
        </w:tc>
        <w:tc>
          <w:tcPr>
            <w:tcW w:type="dxa" w:w="960"/>
          </w:tcPr>
          <w:p>
            <w:r>
              <w:t>20.92%</w:t>
            </w:r>
          </w:p>
        </w:tc>
      </w:tr>
      <w:tr>
        <w:tc>
          <w:tcPr>
            <w:tcW w:type="dxa" w:w="960"/>
          </w:tcPr>
          <w:p>
            <w:r>
              <w:t>Total</w:t>
            </w:r>
          </w:p>
        </w:tc>
        <w:tc>
          <w:tcPr>
            <w:tcW w:type="dxa" w:w="960"/>
          </w:tcPr>
          <w:p>
            <w:r>
              <w:t>5,295.03</w:t>
            </w:r>
          </w:p>
        </w:tc>
        <w:tc>
          <w:tcPr>
            <w:tcW w:type="dxa" w:w="960"/>
          </w:tcPr>
          <w:p>
            <w:r>
              <w:t>100.00%</w:t>
            </w:r>
          </w:p>
        </w:tc>
        <w:tc>
          <w:tcPr>
            <w:tcW w:type="dxa" w:w="960"/>
          </w:tcPr>
          <w:p>
            <w:r>
              <w:t>18,053.45</w:t>
            </w:r>
          </w:p>
        </w:tc>
        <w:tc>
          <w:tcPr>
            <w:tcW w:type="dxa" w:w="960"/>
          </w:tcPr>
          <w:p>
            <w:r>
              <w:t>100.00%</w:t>
            </w:r>
          </w:p>
        </w:tc>
        <w:tc>
          <w:tcPr>
            <w:tcW w:type="dxa" w:w="960"/>
          </w:tcPr>
          <w:p>
            <w:r>
              <w:t>12,828.84</w:t>
            </w:r>
          </w:p>
        </w:tc>
        <w:tc>
          <w:tcPr>
            <w:tcW w:type="dxa" w:w="960"/>
          </w:tcPr>
          <w:p>
            <w:r>
              <w:t>100.00%</w:t>
            </w:r>
          </w:p>
        </w:tc>
        <w:tc>
          <w:tcPr>
            <w:tcW w:type="dxa" w:w="960"/>
          </w:tcPr>
          <w:p>
            <w:r>
              <w:t>9,676.24</w:t>
            </w:r>
          </w:p>
        </w:tc>
        <w:tc>
          <w:tcPr>
            <w:tcW w:type="dxa" w:w="960"/>
          </w:tcPr>
          <w:p>
            <w:r>
              <w:t>100.00%</w:t>
            </w:r>
          </w:p>
        </w:tc>
      </w:tr>
    </w:tbl>
    <w:p>
      <w:pPr>
        <w:pStyle w:val="BodyText"/>
      </w:pPr>
    </w:p>
    <w:p>
      <w:pPr>
        <w:pStyle w:val="BodyText"/>
      </w:pPr>
    </w:p>
    <w:p>
      <w:pPr>
        <w:pStyle w:val="BodyText"/>
      </w:pPr>
      <w: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4"/>
      </w:pPr>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Text"/>
      </w:pPr>
      <w:r>
        <w:t>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Text"/>
      </w:pPr>
    </w:p>
    <w:p>
      <w:pPr>
        <w:pStyle w:val="BodyText"/>
      </w:pPr>
      <w:r>
        <w:t>which our Company has already placed purchase orders, may not be delivered within the expected time, or at all, and may impact the time and cost estimates of our Proposed Capital Expenditure.</w:t>
      </w:r>
    </w:p>
    <w:p>
      <w:pPr>
        <w:pStyle w:val="BodyText"/>
      </w:pPr>
      <w: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Heading4"/>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Text"/>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Text"/>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Text"/>
      </w:pPr>
    </w:p>
    <w:p>
      <w:pPr>
        <w:pStyle w:val="Heading4"/>
      </w:pPr>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Text"/>
      </w:pPr>
      <w:r>
        <w:t>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pPr>
        <w:pStyle w:val="Heading4"/>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Text"/>
      </w:pPr>
      <w:r>
        <w:t>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Text"/>
      </w:pPr>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Text"/>
      </w:pPr>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Text"/>
      </w:pPr>
      <w:r>
        <w:t>211. While there has not been any non-compliance with the quality standards of our customers during the three-month period ended June 30, 2025, or Fiscals 2025, 2024 and 2023, we cannot assure you that any future non-compliance</w:t>
      </w:r>
    </w:p>
    <w:p>
      <w:pPr>
        <w:pStyle w:val="BodyText"/>
      </w:pPr>
    </w:p>
    <w:p>
      <w:pPr>
        <w:pStyle w:val="BodyText"/>
      </w:pPr>
      <w:r>
        <w:t>with quality standards will not result in a material adverse effect on our business, financial condition, results of operations, cash flows and prospects.</w:t>
      </w:r>
    </w:p>
    <w:p>
      <w:pPr>
        <w:pStyle w:val="BodyText"/>
      </w:pPr>
      <w:r>
        <w:t>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4"/>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Text"/>
      </w:pPr>
      <w:r>
        <w:t>We have supplied our products to customers across 24 countries outside India, as of June 30, 2025. The table below sets forth details of the customers served outside India and revenue generated from such customers in the years/ periods indicated:</w:t>
      </w:r>
    </w:p>
    <w:p>
      <w:pPr>
        <w:pStyle w:val="BodyText"/>
      </w:pP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1920"/>
            <w:gridSpan w:val="2"/>
          </w:tcPr>
          <w:p>
            <w:r>
              <w:t>Three-month period ended June 30, 2025</w:t>
            </w:r>
          </w:p>
        </w:tc>
        <w:tc>
          <w:tcPr>
            <w:tcW w:type="dxa" w:w="1920"/>
            <w:gridSpan w:val="2"/>
          </w:tcPr>
          <w:p>
            <w:r>
              <w:t>Fiscal 2025</w:t>
            </w:r>
          </w:p>
        </w:tc>
        <w:tc>
          <w:tcPr>
            <w:tcW w:type="dxa" w:w="1920"/>
            <w:gridSpan w:val="2"/>
          </w:tcPr>
          <w:p>
            <w:r>
              <w:t>Fiscal 2024</w:t>
            </w:r>
          </w:p>
        </w:tc>
        <w:tc>
          <w:tcPr>
            <w:tcW w:type="dxa" w:w="1920"/>
            <w:gridSpan w:val="2"/>
          </w:tcPr>
          <w:p>
            <w:r>
              <w:t>Fiscal 2023</w:t>
            </w:r>
          </w:p>
        </w:tc>
      </w:tr>
      <w:tr>
        <w:tc>
          <w:tcPr>
            <w:tcW w:type="dxa" w:w="960"/>
          </w:tcPr>
          <w:p>
            <w:r>
              <w:t>Particulars</w:t>
            </w:r>
          </w:p>
        </w:tc>
        <w:tc>
          <w:tcPr>
            <w:tcW w:type="dxa" w:w="960"/>
          </w:tcPr>
          <w:p>
            <w:r>
              <w:t>Amount</w:t>
              <w:br/>
              <w:t>(₹ in</w:t>
              <w:br/>
              <w:t>million)</w:t>
            </w:r>
          </w:p>
        </w:tc>
        <w:tc>
          <w:tcPr>
            <w:tcW w:type="dxa" w:w="960"/>
          </w:tcPr>
          <w:p>
            <w:r>
              <w:t>% of sale of products</w:t>
            </w:r>
          </w:p>
        </w:tc>
        <w:tc>
          <w:tcPr>
            <w:tcW w:type="dxa" w:w="960"/>
          </w:tcPr>
          <w:p>
            <w:r>
              <w:t>Amount</w:t>
              <w:br/>
              <w:t>(₹ in</w:t>
              <w:br/>
              <w:t>million)</w:t>
            </w:r>
          </w:p>
        </w:tc>
        <w:tc>
          <w:tcPr>
            <w:tcW w:type="dxa" w:w="960"/>
          </w:tcPr>
          <w:p>
            <w:r>
              <w:t>% of sale of products</w:t>
            </w:r>
          </w:p>
        </w:tc>
        <w:tc>
          <w:tcPr>
            <w:tcW w:type="dxa" w:w="960"/>
          </w:tcPr>
          <w:p>
            <w:r>
              <w:t>Amount</w:t>
              <w:br/>
              <w:t>(₹ in</w:t>
              <w:br/>
              <w:t>million)</w:t>
            </w:r>
          </w:p>
        </w:tc>
        <w:tc>
          <w:tcPr>
            <w:tcW w:type="dxa" w:w="960"/>
          </w:tcPr>
          <w:p>
            <w:r>
              <w:t>% of sale of products</w:t>
            </w:r>
          </w:p>
        </w:tc>
        <w:tc>
          <w:tcPr>
            <w:tcW w:type="dxa" w:w="960"/>
          </w:tcPr>
          <w:p>
            <w:r>
              <w:t>Amount</w:t>
              <w:br/>
              <w:t>(₹ in</w:t>
              <w:br/>
              <w:t>million)</w:t>
            </w:r>
          </w:p>
        </w:tc>
        <w:tc>
          <w:tcPr>
            <w:tcW w:type="dxa" w:w="960"/>
          </w:tcPr>
          <w:p>
            <w:r>
              <w:t>% of sale of products</w:t>
            </w:r>
          </w:p>
        </w:tc>
      </w:tr>
      <w:tr>
        <w:tc>
          <w:tcPr>
            <w:tcW w:type="dxa" w:w="960"/>
          </w:tcPr>
          <w:p>
            <w:r>
              <w:t>Domestic customers</w:t>
            </w:r>
          </w:p>
        </w:tc>
        <w:tc>
          <w:tcPr>
            <w:tcW w:type="dxa" w:w="960"/>
          </w:tcPr>
          <w:p>
            <w:r>
              <w:t>3,637.09</w:t>
            </w:r>
          </w:p>
        </w:tc>
        <w:tc>
          <w:tcPr>
            <w:tcW w:type="dxa" w:w="960"/>
          </w:tcPr>
          <w:p>
            <w:r>
              <w:t>69.25%</w:t>
            </w:r>
          </w:p>
        </w:tc>
        <w:tc>
          <w:tcPr>
            <w:tcW w:type="dxa" w:w="960"/>
          </w:tcPr>
          <w:p>
            <w:r>
              <w:t>11,879.83</w:t>
            </w:r>
          </w:p>
        </w:tc>
        <w:tc>
          <w:tcPr>
            <w:tcW w:type="dxa" w:w="960"/>
          </w:tcPr>
          <w:p>
            <w:r>
              <w:t>66.80%</w:t>
            </w:r>
          </w:p>
        </w:tc>
        <w:tc>
          <w:tcPr>
            <w:tcW w:type="dxa" w:w="960"/>
          </w:tcPr>
          <w:p>
            <w:r>
              <w:t>7,559.52</w:t>
            </w:r>
          </w:p>
        </w:tc>
        <w:tc>
          <w:tcPr>
            <w:tcW w:type="dxa" w:w="960"/>
          </w:tcPr>
          <w:p>
            <w:r>
              <w:t>60.85%</w:t>
            </w:r>
          </w:p>
        </w:tc>
        <w:tc>
          <w:tcPr>
            <w:tcW w:type="dxa" w:w="960"/>
          </w:tcPr>
          <w:p>
            <w:r>
              <w:t>5,245.79</w:t>
            </w:r>
          </w:p>
        </w:tc>
        <w:tc>
          <w:tcPr>
            <w:tcW w:type="dxa" w:w="960"/>
          </w:tcPr>
          <w:p>
            <w:r>
              <w:t>56.07%</w:t>
            </w:r>
          </w:p>
        </w:tc>
      </w:tr>
      <w:tr>
        <w:tc>
          <w:tcPr>
            <w:tcW w:type="dxa" w:w="960"/>
          </w:tcPr>
          <w:p>
            <w:r>
              <w:t>Customers outside India</w:t>
            </w:r>
          </w:p>
        </w:tc>
        <w:tc>
          <w:tcPr>
            <w:tcW w:type="dxa" w:w="960"/>
          </w:tcPr>
          <w:p>
            <w:r>
              <w:t>1,615.13</w:t>
            </w:r>
          </w:p>
        </w:tc>
        <w:tc>
          <w:tcPr>
            <w:tcW w:type="dxa" w:w="960"/>
          </w:tcPr>
          <w:p>
            <w:r>
              <w:t>30.75%</w:t>
            </w:r>
          </w:p>
        </w:tc>
        <w:tc>
          <w:tcPr>
            <w:tcW w:type="dxa" w:w="960"/>
          </w:tcPr>
          <w:p>
            <w:r>
              <w:t>5,903.64</w:t>
            </w:r>
          </w:p>
        </w:tc>
        <w:tc>
          <w:tcPr>
            <w:tcW w:type="dxa" w:w="960"/>
          </w:tcPr>
          <w:p>
            <w:r>
              <w:t>33.20%</w:t>
            </w:r>
          </w:p>
        </w:tc>
        <w:tc>
          <w:tcPr>
            <w:tcW w:type="dxa" w:w="960"/>
          </w:tcPr>
          <w:p>
            <w:r>
              <w:t>4,863.35</w:t>
            </w:r>
          </w:p>
        </w:tc>
        <w:tc>
          <w:tcPr>
            <w:tcW w:type="dxa" w:w="960"/>
          </w:tcPr>
          <w:p>
            <w:r>
              <w:t>39.15%</w:t>
            </w:r>
          </w:p>
        </w:tc>
        <w:tc>
          <w:tcPr>
            <w:tcW w:type="dxa" w:w="960"/>
          </w:tcPr>
          <w:p>
            <w:r>
              <w:t>4,110.36</w:t>
            </w:r>
          </w:p>
        </w:tc>
        <w:tc>
          <w:tcPr>
            <w:tcW w:type="dxa" w:w="960"/>
          </w:tcPr>
          <w:p>
            <w:r>
              <w:t>43.93%</w:t>
            </w:r>
          </w:p>
        </w:tc>
      </w:tr>
      <w:tr>
        <w:tc>
          <w:tcPr>
            <w:tcW w:type="dxa" w:w="960"/>
          </w:tcPr>
          <w:p>
            <w:r>
              <w:t>Total*</w:t>
            </w:r>
          </w:p>
        </w:tc>
        <w:tc>
          <w:tcPr>
            <w:tcW w:type="dxa" w:w="960"/>
          </w:tcPr>
          <w:p>
            <w:r>
              <w:t>5,252.21</w:t>
            </w:r>
          </w:p>
        </w:tc>
        <w:tc>
          <w:tcPr>
            <w:tcW w:type="dxa" w:w="960"/>
          </w:tcPr>
          <w:p>
            <w:r>
              <w:t>100.00%</w:t>
            </w:r>
          </w:p>
        </w:tc>
        <w:tc>
          <w:tcPr>
            <w:tcW w:type="dxa" w:w="960"/>
          </w:tcPr>
          <w:p>
            <w:r>
              <w:t>17,783.47</w:t>
            </w:r>
          </w:p>
        </w:tc>
        <w:tc>
          <w:tcPr>
            <w:tcW w:type="dxa" w:w="960"/>
          </w:tcPr>
          <w:p>
            <w:r>
              <w:t>100.00%</w:t>
            </w:r>
          </w:p>
        </w:tc>
        <w:tc>
          <w:tcPr>
            <w:tcW w:type="dxa" w:w="960"/>
          </w:tcPr>
          <w:p>
            <w:r>
              <w:t>12,422.87</w:t>
            </w:r>
          </w:p>
        </w:tc>
        <w:tc>
          <w:tcPr>
            <w:tcW w:type="dxa" w:w="960"/>
          </w:tcPr>
          <w:p>
            <w:r>
              <w:t>100.00%</w:t>
            </w:r>
          </w:p>
        </w:tc>
        <w:tc>
          <w:tcPr>
            <w:tcW w:type="dxa" w:w="960"/>
          </w:tcPr>
          <w:p>
            <w:r>
              <w:t>9,356.15</w:t>
            </w:r>
          </w:p>
        </w:tc>
        <w:tc>
          <w:tcPr>
            <w:tcW w:type="dxa" w:w="960"/>
          </w:tcPr>
          <w:p>
            <w:r>
              <w:t>100.00%</w:t>
            </w:r>
          </w:p>
        </w:tc>
      </w:tr>
    </w:tbl>
    <w:p>
      <w:pPr>
        <w:pStyle w:val="BodyText"/>
      </w:pPr>
    </w:p>
    <w:p>
      <w:r>
        <w:t>* This does not include processing charges and other operating revenue.</w:t>
      </w:r>
    </w:p>
    <w:p>
      <w:pPr>
        <w:pStyle w:val="BodyText"/>
      </w:pPr>
    </w:p>
    <w:p>
      <w:pPr>
        <w:pStyle w:val="BodyText"/>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Text"/>
      </w:pPr>
      <w:r>
        <w:t>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Text"/>
      </w:pPr>
    </w:p>
    <w:p>
      <w:pPr>
        <w:pStyle w:val="Heading4"/>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Text"/>
      </w:pPr>
      <w:r>
        <w:t>The table below sets forth certain information relating to our cash flows from operating activities for the periods/ years indicated:</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Net cash flows from / (used in) operating activities</w:t>
            </w:r>
          </w:p>
        </w:tc>
        <w:tc>
          <w:tcPr>
            <w:tcW w:type="dxa" w:w="1728"/>
          </w:tcPr>
          <w:p>
            <w:r>
              <w:t>139.82</w:t>
            </w:r>
          </w:p>
        </w:tc>
        <w:tc>
          <w:tcPr>
            <w:tcW w:type="dxa" w:w="1728"/>
          </w:tcPr>
          <w:p>
            <w:r>
              <w:t>(97.74)</w:t>
            </w:r>
          </w:p>
        </w:tc>
        <w:tc>
          <w:tcPr>
            <w:tcW w:type="dxa" w:w="1728"/>
          </w:tcPr>
          <w:p>
            <w:r>
              <w:t>(172.32)</w:t>
            </w:r>
          </w:p>
        </w:tc>
        <w:tc>
          <w:tcPr>
            <w:tcW w:type="dxa" w:w="1728"/>
          </w:tcPr>
          <w:p>
            <w:r>
              <w:t>620.89</w:t>
            </w:r>
          </w:p>
        </w:tc>
      </w:tr>
    </w:tbl>
    <w:p>
      <w:pPr>
        <w:pStyle w:val="BodyText"/>
      </w:pPr>
    </w:p>
    <w:p>
      <w:pPr>
        <w:pStyle w:val="BodyText"/>
      </w:pPr>
    </w:p>
    <w:p>
      <w:pPr>
        <w:pStyle w:val="BodyText"/>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4"/>
      </w:pPr>
      <w:r>
        <w:t>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pPr>
        <w:pStyle w:val="BodyText"/>
      </w:pPr>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Text"/>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Text"/>
      </w:pPr>
      <w:r>
        <w:t>(i) certificate of enrolment issued by Maharashtra Sales Tax Department under the Maharashtra State Tax on Professions, Trades, Callings and Employment Act, 1975 and (ii) for amending the name of our Company in certain regulatory approvals and licenses issued under our old name “KSH International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Text"/>
      </w:pPr>
      <w:r>
        <w:t>Further, our government approvals and licenses are subject to certain conditions, some of which are onerous and require us to make substantial compliance-related expenditure. If we fail to comply or a regulator claim that we have</w:t>
      </w:r>
    </w:p>
    <w:p>
      <w:pPr>
        <w:pStyle w:val="BodyText"/>
      </w:pPr>
    </w:p>
    <w:p>
      <w:pPr>
        <w:pStyle w:val="BodyText"/>
      </w:pPr>
      <w:r>
        <w:t>not complied with such conditions, our business, prospects, financial condition, results of operations and cash flows may be adversely affected.</w:t>
      </w:r>
    </w:p>
    <w:p>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pPr>
        <w:pStyle w:val="BodyText"/>
      </w:pPr>
      <w:r>
        <w:t>Our inability to control the costs involved in complying with these and other relevant laws and regulations could have an adverse effect on our business, financial condition, results of operations and cash flows.</w:t>
      </w:r>
    </w:p>
    <w:p>
      <w:pPr>
        <w:pStyle w:val="Heading4"/>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Text"/>
      </w:pPr>
      <w:r>
        <w:t>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w:t>
      </w:r>
    </w:p>
    <w:p>
      <w:pPr>
        <w:pStyle w:val="ListParagraph"/>
      </w:pPr>
      <w:r>
        <w:t>Annual returns filed by the Company beginning from the Fiscal 1980 until the Fiscal 2003, except for the Fiscals ended March 31, 1983, and March 31, 1988;</w:t>
      </w:r>
    </w:p>
    <w:p>
      <w:pPr>
        <w:pStyle w:val="ListParagraph"/>
      </w:pPr>
      <w:r>
        <w:t>Financial statements, (a) between the Fiscal 1980 until March 31, 1985, (b) between the Fiscal 1986 until March 31, 2005, and (c) between the Fiscals 2011 and 2014;</w:t>
      </w:r>
    </w:p>
    <w:p>
      <w:pPr>
        <w:pStyle w:val="ListParagraph"/>
      </w:pPr>
      <w:r>
        <w:t>Form 1, Form 1A and Form 18 along with corresponding RoC challans for incorporation of the Company dated July 30, 1979, application for reservation of name, and intimation of registered office respectively;</w:t>
      </w:r>
    </w:p>
    <w:p>
      <w:pPr>
        <w:pStyle w:val="ListParagraph"/>
      </w:pPr>
      <w:r>
        <w:t>Form 23, Forms 1A and 1B along with corresponding RoC challans for change of name of the Company from “Bhandary Metal Extrusion Private Limited” to “KSH International Private Limited” dated July 4, 1996;</w:t>
      </w:r>
    </w:p>
    <w:p>
      <w:pPr>
        <w:pStyle w:val="ListParagraph"/>
      </w:pPr>
      <w:r>
        <w:t>Form 32 along with corresponding challan for regularization as director in relation to Priya Sharma dated September 26, 1996;</w:t>
      </w:r>
    </w:p>
    <w:p>
      <w:pPr>
        <w:pStyle w:val="ListParagraph"/>
      </w:pPr>
      <w:r>
        <w:t>Form 32 along with corresponding RoC challan for appointment as additional director in relation to Jane Smith dated November 1, 2000;</w:t>
      </w:r>
    </w:p>
    <w:p>
      <w:pPr>
        <w:pStyle w:val="ListParagraph"/>
      </w:pPr>
      <w:r>
        <w:t>Form 32 along with the corresponding RoC challan for regularisation as director in relation to Jane Smith dated September 21, 2000;</w:t>
      </w:r>
    </w:p>
    <w:p>
      <w:pPr>
        <w:pStyle w:val="ListParagraph"/>
      </w:pPr>
      <w:r>
        <w:t>Copies or counter folios of share certificates issued to the shareholders; and</w:t>
      </w:r>
    </w:p>
    <w:p>
      <w:pPr>
        <w:pStyle w:val="ListParagraph"/>
      </w:pPr>
      <w:r>
        <w:t>Share transfer forms for all secondary transactions of equity shares, including the following transfers involving the Promoter Selling Shareholders:</w:t>
      </w:r>
    </w:p>
    <w:p>
      <w:pPr>
        <w:pStyle w:val="BodyText"/>
      </w:pPr>
    </w:p>
    <w:p>
      <w:pPr>
        <w:pStyle w:val="BodyText"/>
      </w:pPr>
    </w:p>
    <w:p>
      <w:pPr>
        <w:pStyle w:val="BodyText"/>
      </w:pP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w:t>
              <w:br/>
              <w:t>No.</w:t>
            </w:r>
          </w:p>
        </w:tc>
        <w:tc>
          <w:tcPr>
            <w:tcW w:type="dxa" w:w="2160"/>
          </w:tcPr>
          <w:p>
            <w:r>
              <w:t>Date</w:t>
            </w:r>
          </w:p>
        </w:tc>
        <w:tc>
          <w:tcPr>
            <w:tcW w:type="dxa" w:w="2160"/>
          </w:tcPr>
          <w:p>
            <w:r>
              <w:t>Details</w:t>
            </w:r>
          </w:p>
        </w:tc>
        <w:tc>
          <w:tcPr>
            <w:tcW w:type="dxa" w:w="2160"/>
          </w:tcPr>
          <w:p>
            <w:r>
              <w:t>Nature of document</w:t>
            </w:r>
          </w:p>
        </w:tc>
      </w:tr>
    </w:tbl>
    <w:p>
      <w:pPr>
        <w:pStyle w:val="BodyText"/>
      </w:pP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1.</w:t>
            </w:r>
          </w:p>
        </w:tc>
        <w:tc>
          <w:tcPr>
            <w:tcW w:type="dxa" w:w="2160"/>
          </w:tcPr>
          <w:p>
            <w:r>
              <w:t>1979-1980</w:t>
            </w:r>
          </w:p>
        </w:tc>
        <w:tc>
          <w:tcPr>
            <w:tcW w:type="dxa" w:w="2160"/>
          </w:tcPr>
          <w:p>
            <w:r>
              <w:t>Initial subscription to the MoA and further issue</w:t>
            </w:r>
          </w:p>
        </w:tc>
        <w:tc>
          <w:tcPr>
            <w:tcW w:type="dxa" w:w="2160"/>
          </w:tcPr>
          <w:p>
            <w:r>
              <w:t>The financial statements of FY 1980 and FY 1981.</w:t>
            </w:r>
          </w:p>
        </w:tc>
      </w:tr>
      <w:tr>
        <w:tc>
          <w:tcPr>
            <w:tcW w:type="dxa" w:w="2160"/>
          </w:tcPr>
          <w:p>
            <w:r>
              <w:t>2.</w:t>
            </w:r>
          </w:p>
        </w:tc>
        <w:tc>
          <w:tcPr>
            <w:tcW w:type="dxa" w:w="2160"/>
          </w:tcPr>
          <w:p>
            <w:r>
              <w:t>September</w:t>
              <w:tab/>
              <w:t>30,</w:t>
              <w:br/>
              <w:t>1981</w:t>
            </w:r>
          </w:p>
        </w:tc>
        <w:tc>
          <w:tcPr>
            <w:tcW w:type="dxa" w:w="2160"/>
          </w:tcPr>
          <w:p>
            <w:r>
              <w:t>Secondary transfer of equity shares</w:t>
            </w:r>
          </w:p>
        </w:tc>
        <w:tc>
          <w:tcPr>
            <w:tcW w:type="dxa" w:w="2160"/>
          </w:tcPr>
          <w:p>
            <w:r>
              <w:t>Form 7B for transfer of shares to Kushal Hegde from DM Shetty and Gopal BO.</w:t>
            </w:r>
          </w:p>
        </w:tc>
      </w:tr>
      <w:tr>
        <w:tc>
          <w:tcPr>
            <w:tcW w:type="dxa" w:w="2160"/>
          </w:tcPr>
          <w:p>
            <w:r>
              <w:t>3.</w:t>
            </w:r>
          </w:p>
        </w:tc>
        <w:tc>
          <w:tcPr>
            <w:tcW w:type="dxa" w:w="2160"/>
          </w:tcPr>
          <w:p>
            <w:r>
              <w:t>August 6, 1982</w:t>
            </w:r>
          </w:p>
        </w:tc>
        <w:tc>
          <w:tcPr>
            <w:tcW w:type="dxa" w:w="2160"/>
          </w:tcPr>
          <w:p>
            <w:r>
              <w:t>Secondary transfer of equity shares</w:t>
            </w:r>
          </w:p>
        </w:tc>
        <w:tc>
          <w:tcPr>
            <w:tcW w:type="dxa" w:w="2160"/>
          </w:tcPr>
          <w:p>
            <w:r>
              <w:t>Form 7B for transfer of shares to Kushal Hegde from Karunakar Bhandary and SA Shetty.</w:t>
            </w:r>
          </w:p>
        </w:tc>
      </w:tr>
      <w:tr>
        <w:tc>
          <w:tcPr>
            <w:tcW w:type="dxa" w:w="2160"/>
          </w:tcPr>
          <w:p>
            <w:r>
              <w:t>4.</w:t>
            </w:r>
          </w:p>
        </w:tc>
        <w:tc>
          <w:tcPr>
            <w:tcW w:type="dxa" w:w="2160"/>
          </w:tcPr>
          <w:p>
            <w:r>
              <w:t>December 9, 1983</w:t>
            </w:r>
          </w:p>
        </w:tc>
        <w:tc>
          <w:tcPr>
            <w:tcW w:type="dxa" w:w="2160"/>
          </w:tcPr>
          <w:p>
            <w:r>
              <w:t>Secondary transfer of equity shares</w:t>
            </w:r>
          </w:p>
        </w:tc>
        <w:tc>
          <w:tcPr>
            <w:tcW w:type="dxa" w:w="2160"/>
          </w:tcPr>
          <w:p>
            <w:r>
              <w:t>Form 7B for transfer of shares to Kushal Hegde from Jayaram Shetty.</w:t>
            </w:r>
          </w:p>
        </w:tc>
      </w:tr>
      <w:tr>
        <w:tc>
          <w:tcPr>
            <w:tcW w:type="dxa" w:w="2160"/>
          </w:tcPr>
          <w:p>
            <w:r>
              <w:t>5.</w:t>
            </w:r>
          </w:p>
        </w:tc>
        <w:tc>
          <w:tcPr>
            <w:tcW w:type="dxa" w:w="2160"/>
          </w:tcPr>
          <w:p>
            <w:r>
              <w:t>March 28, 1987</w:t>
            </w:r>
          </w:p>
        </w:tc>
        <w:tc>
          <w:tcPr>
            <w:tcW w:type="dxa" w:w="2160"/>
          </w:tcPr>
          <w:p>
            <w:r>
              <w:t>Secondary transfer of equity shares</w:t>
            </w:r>
          </w:p>
        </w:tc>
        <w:tc>
          <w:tcPr>
            <w:tcW w:type="dxa" w:w="2160"/>
          </w:tcPr>
          <w:p>
            <w:r>
              <w:t>Form 7B for transfer of shares by Kushal Hegde to Karunakar Hegde.</w:t>
            </w:r>
          </w:p>
        </w:tc>
      </w:tr>
      <w:tr>
        <w:tc>
          <w:tcPr>
            <w:tcW w:type="dxa" w:w="2160"/>
          </w:tcPr>
          <w:p>
            <w:r>
              <w:t>6.</w:t>
            </w:r>
          </w:p>
        </w:tc>
        <w:tc>
          <w:tcPr>
            <w:tcW w:type="dxa" w:w="2160"/>
          </w:tcPr>
          <w:p>
            <w:r>
              <w:t>February 25, 1993</w:t>
            </w:r>
          </w:p>
        </w:tc>
        <w:tc>
          <w:tcPr>
            <w:tcW w:type="dxa" w:w="2160"/>
          </w:tcPr>
          <w:p>
            <w:r>
              <w:t>Further issue of equity shares</w:t>
            </w:r>
          </w:p>
        </w:tc>
        <w:tc>
          <w:tcPr>
            <w:tcW w:type="dxa" w:w="2160"/>
          </w:tcPr>
          <w:p>
            <w:r>
              <w:t>Challan for the Form 2 in relation to the said allotment</w:t>
            </w:r>
          </w:p>
        </w:tc>
      </w:tr>
      <w:tr>
        <w:tc>
          <w:tcPr>
            <w:tcW w:type="dxa" w:w="2160"/>
          </w:tcPr>
          <w:p>
            <w:r>
              <w:t>7.</w:t>
            </w:r>
          </w:p>
        </w:tc>
        <w:tc>
          <w:tcPr>
            <w:tcW w:type="dxa" w:w="2160"/>
          </w:tcPr>
          <w:p>
            <w:r>
              <w:t>September 7, 1998</w:t>
            </w:r>
          </w:p>
        </w:tc>
        <w:tc>
          <w:tcPr>
            <w:tcW w:type="dxa" w:w="2160"/>
          </w:tcPr>
          <w:p>
            <w:r>
              <w:t>Secondary transfer of equity shares</w:t>
            </w:r>
          </w:p>
        </w:tc>
        <w:tc>
          <w:tcPr>
            <w:tcW w:type="dxa" w:w="2160"/>
          </w:tcPr>
          <w:p>
            <w:r>
              <w:t>Form 7B for transfer of shares to Karunakar Hegde HUF from Karunakar Hegde.</w:t>
            </w:r>
          </w:p>
        </w:tc>
      </w:tr>
      <w:tr>
        <w:tc>
          <w:tcPr>
            <w:tcW w:type="dxa" w:w="2160"/>
          </w:tcPr>
          <w:p>
            <w:r>
              <w:t>8.</w:t>
            </w:r>
          </w:p>
        </w:tc>
        <w:tc>
          <w:tcPr>
            <w:tcW w:type="dxa" w:w="2160"/>
          </w:tcPr>
          <w:p>
            <w:r>
              <w:t>September 7, 1998</w:t>
            </w:r>
          </w:p>
        </w:tc>
        <w:tc>
          <w:tcPr>
            <w:tcW w:type="dxa" w:w="2160"/>
          </w:tcPr>
          <w:p>
            <w:r>
              <w:t>Secondary transfer of equity shares</w:t>
            </w:r>
          </w:p>
        </w:tc>
        <w:tc>
          <w:tcPr>
            <w:tcW w:type="dxa" w:w="2160"/>
          </w:tcPr>
          <w:p>
            <w:r>
              <w:t>Form 7B for transfer of shares to Priya Sharma from Narayana B. Shetty</w:t>
            </w:r>
          </w:p>
        </w:tc>
      </w:tr>
      <w:tr>
        <w:tc>
          <w:tcPr>
            <w:tcW w:type="dxa" w:w="2160"/>
          </w:tcPr>
          <w:p>
            <w:r>
              <w:t>9.</w:t>
            </w:r>
          </w:p>
        </w:tc>
        <w:tc>
          <w:tcPr>
            <w:tcW w:type="dxa" w:w="2160"/>
          </w:tcPr>
          <w:p>
            <w:r>
              <w:t>December</w:t>
              <w:tab/>
              <w:t>28,</w:t>
              <w:br/>
              <w:t>1998</w:t>
            </w:r>
          </w:p>
        </w:tc>
        <w:tc>
          <w:tcPr>
            <w:tcW w:type="dxa" w:w="2160"/>
          </w:tcPr>
          <w:p>
            <w:r>
              <w:t>Secondary transfer of equity shares</w:t>
            </w:r>
          </w:p>
        </w:tc>
        <w:tc>
          <w:tcPr>
            <w:tcW w:type="dxa" w:w="2160"/>
          </w:tcPr>
          <w:p>
            <w:r>
              <w:t>Form 7B for transfer of shares to Kushal Hegde from Shubhkamal Leasing and Kestrel Finance Limited</w:t>
            </w:r>
          </w:p>
        </w:tc>
      </w:tr>
      <w:tr>
        <w:tc>
          <w:tcPr>
            <w:tcW w:type="dxa" w:w="2160"/>
          </w:tcPr>
          <w:p>
            <w:r>
              <w:t>10.</w:t>
            </w:r>
          </w:p>
        </w:tc>
        <w:tc>
          <w:tcPr>
            <w:tcW w:type="dxa" w:w="2160"/>
          </w:tcPr>
          <w:p>
            <w:r>
              <w:t>December</w:t>
              <w:tab/>
              <w:t>28,</w:t>
              <w:br/>
              <w:t>1998</w:t>
            </w:r>
          </w:p>
        </w:tc>
        <w:tc>
          <w:tcPr>
            <w:tcW w:type="dxa" w:w="2160"/>
          </w:tcPr>
          <w:p>
            <w:r>
              <w:t>Secondary transfer of equity shares</w:t>
            </w:r>
          </w:p>
        </w:tc>
        <w:tc>
          <w:tcPr>
            <w:tcW w:type="dxa" w:w="2160"/>
          </w:tcPr>
          <w:p>
            <w:r>
              <w:t>Form 7B for transfer of shares to Rohit Hegde from Karunakar Hegde HUF.</w:t>
            </w:r>
          </w:p>
        </w:tc>
      </w:tr>
      <w:tr>
        <w:tc>
          <w:tcPr>
            <w:tcW w:type="dxa" w:w="2160"/>
          </w:tcPr>
          <w:p>
            <w:r>
              <w:t>11.</w:t>
            </w:r>
          </w:p>
        </w:tc>
        <w:tc>
          <w:tcPr>
            <w:tcW w:type="dxa" w:w="2160"/>
          </w:tcPr>
          <w:p>
            <w:r>
              <w:t>December</w:t>
              <w:tab/>
              <w:t>28,</w:t>
              <w:br/>
              <w:t>1998</w:t>
            </w:r>
          </w:p>
        </w:tc>
        <w:tc>
          <w:tcPr>
            <w:tcW w:type="dxa" w:w="2160"/>
          </w:tcPr>
          <w:p>
            <w:r>
              <w:t>Secondary transfer of equity shares</w:t>
            </w:r>
          </w:p>
        </w:tc>
        <w:tc>
          <w:tcPr>
            <w:tcW w:type="dxa" w:w="2160"/>
          </w:tcPr>
          <w:p>
            <w:r>
              <w:t>Form 7B for transfer of shares to Priya Sharma from Shubhkamal Leasing and Kestrel Finance Limited</w:t>
            </w:r>
          </w:p>
        </w:tc>
      </w:tr>
      <w:tr>
        <w:tc>
          <w:tcPr>
            <w:tcW w:type="dxa" w:w="2160"/>
          </w:tcPr>
          <w:p>
            <w:r>
              <w:t>12.</w:t>
            </w:r>
          </w:p>
        </w:tc>
        <w:tc>
          <w:tcPr>
            <w:tcW w:type="dxa" w:w="2160"/>
          </w:tcPr>
          <w:p>
            <w:r>
              <w:t>November</w:t>
              <w:tab/>
              <w:t>29,</w:t>
              <w:br/>
              <w:t>2001</w:t>
            </w:r>
          </w:p>
        </w:tc>
        <w:tc>
          <w:tcPr>
            <w:tcW w:type="dxa" w:w="2160"/>
          </w:tcPr>
          <w:p>
            <w:r>
              <w:t>Secondary transfer of equity shares</w:t>
            </w:r>
          </w:p>
        </w:tc>
        <w:tc>
          <w:tcPr>
            <w:tcW w:type="dxa" w:w="2160"/>
          </w:tcPr>
          <w:p>
            <w:r>
              <w:t>Form 7B for transfer of shares to Rajesh Hegde by Vijay Hegde.</w:t>
            </w:r>
          </w:p>
        </w:tc>
      </w:tr>
      <w:tr>
        <w:tc>
          <w:tcPr>
            <w:tcW w:type="dxa" w:w="2160"/>
          </w:tcPr>
          <w:p>
            <w:r>
              <w:t>13.</w:t>
            </w:r>
          </w:p>
        </w:tc>
        <w:tc>
          <w:tcPr>
            <w:tcW w:type="dxa" w:w="2160"/>
          </w:tcPr>
          <w:p>
            <w:r>
              <w:t>November</w:t>
              <w:tab/>
              <w:t>29,</w:t>
              <w:br/>
              <w:t>2001</w:t>
            </w:r>
          </w:p>
        </w:tc>
        <w:tc>
          <w:tcPr>
            <w:tcW w:type="dxa" w:w="2160"/>
          </w:tcPr>
          <w:p>
            <w:r>
              <w:t>Secondary transfer of equity shares</w:t>
            </w:r>
          </w:p>
        </w:tc>
        <w:tc>
          <w:tcPr>
            <w:tcW w:type="dxa" w:w="2160"/>
          </w:tcPr>
          <w:p>
            <w:r>
              <w:t>Form 7B for transfer of shares to Rohit Hegde by Vijay Hegde.</w:t>
            </w:r>
          </w:p>
        </w:tc>
      </w:tr>
      <w:tr>
        <w:tc>
          <w:tcPr>
            <w:tcW w:type="dxa" w:w="2160"/>
          </w:tcPr>
          <w:p>
            <w:r>
              <w:t>14.</w:t>
            </w:r>
          </w:p>
        </w:tc>
        <w:tc>
          <w:tcPr>
            <w:tcW w:type="dxa" w:w="2160"/>
          </w:tcPr>
          <w:p>
            <w:r>
              <w:t>April 20, 2002</w:t>
            </w:r>
          </w:p>
        </w:tc>
        <w:tc>
          <w:tcPr>
            <w:tcW w:type="dxa" w:w="2160"/>
          </w:tcPr>
          <w:p>
            <w:r>
              <w:t>Secondary transfer of equity shares</w:t>
            </w:r>
          </w:p>
        </w:tc>
        <w:tc>
          <w:tcPr>
            <w:tcW w:type="dxa" w:w="2160"/>
          </w:tcPr>
          <w:p>
            <w:r>
              <w:t>Form 7B for transfer of shares by Kushal Hegde to Rajesh Hegde and Rohit Hegde.</w:t>
            </w:r>
          </w:p>
        </w:tc>
      </w:tr>
      <w:tr>
        <w:tc>
          <w:tcPr>
            <w:tcW w:type="dxa" w:w="2160"/>
          </w:tcPr>
          <w:p>
            <w:r>
              <w:t>15.</w:t>
            </w:r>
          </w:p>
        </w:tc>
        <w:tc>
          <w:tcPr>
            <w:tcW w:type="dxa" w:w="2160"/>
          </w:tcPr>
          <w:p>
            <w:r>
              <w:t>1979-1980</w:t>
            </w:r>
          </w:p>
        </w:tc>
        <w:tc>
          <w:tcPr>
            <w:tcW w:type="dxa" w:w="2160"/>
          </w:tcPr>
          <w:p>
            <w:r>
              <w:t>Initial subscription to the MoA and further issue</w:t>
            </w:r>
          </w:p>
        </w:tc>
        <w:tc>
          <w:tcPr>
            <w:tcW w:type="dxa" w:w="2160"/>
          </w:tcPr>
          <w:p>
            <w:r>
              <w:t>The financial statements of FY 1980 and FY 1981.</w:t>
            </w:r>
          </w:p>
        </w:tc>
      </w:tr>
      <w:tr>
        <w:tc>
          <w:tcPr>
            <w:tcW w:type="dxa" w:w="2160"/>
          </w:tcPr>
          <w:p>
            <w:r>
              <w:t>16.</w:t>
            </w:r>
          </w:p>
        </w:tc>
        <w:tc>
          <w:tcPr>
            <w:tcW w:type="dxa" w:w="2160"/>
          </w:tcPr>
          <w:p>
            <w:r>
              <w:t>February 20, 2015</w:t>
            </w:r>
          </w:p>
        </w:tc>
        <w:tc>
          <w:tcPr>
            <w:tcW w:type="dxa" w:w="2160"/>
          </w:tcPr>
          <w:p>
            <w:r>
              <w:t>Conversion of unsecured loan</w:t>
            </w:r>
          </w:p>
        </w:tc>
        <w:tc>
          <w:tcPr>
            <w:tcW w:type="dxa" w:w="2160"/>
          </w:tcPr>
          <w:p>
            <w:r>
              <w:t>Valuation report of an independent chartered accountant for conversion of loan into equity shares.</w:t>
            </w:r>
          </w:p>
        </w:tc>
      </w:tr>
      <w:tr>
        <w:tc>
          <w:tcPr>
            <w:tcW w:type="dxa" w:w="2160"/>
          </w:tcPr>
          <w:p>
            <w:r>
              <w:t>17.</w:t>
            </w:r>
          </w:p>
        </w:tc>
        <w:tc>
          <w:tcPr>
            <w:tcW w:type="dxa" w:w="2160"/>
          </w:tcPr>
          <w:p>
            <w:r>
              <w:t>March 29, 2016</w:t>
            </w:r>
          </w:p>
        </w:tc>
        <w:tc>
          <w:tcPr>
            <w:tcW w:type="dxa" w:w="2160"/>
          </w:tcPr>
          <w:p>
            <w:r>
              <w:t>Secondary transfer of equity shares</w:t>
            </w:r>
          </w:p>
        </w:tc>
        <w:tc>
          <w:tcPr>
            <w:tcW w:type="dxa" w:w="2160"/>
          </w:tcPr>
          <w:p>
            <w:r>
              <w:t>Form SH- 4 for transfer of shares by Kushal Hegde, Rajesh Hegde and Rohit Hegde to Pushpa Hegde.</w:t>
            </w:r>
          </w:p>
        </w:tc>
      </w:tr>
      <w:tr>
        <w:tc>
          <w:tcPr>
            <w:tcW w:type="dxa" w:w="2160"/>
          </w:tcPr>
          <w:p>
            <w:r>
              <w:t>18.</w:t>
            </w:r>
          </w:p>
        </w:tc>
        <w:tc>
          <w:tcPr>
            <w:tcW w:type="dxa" w:w="2160"/>
          </w:tcPr>
          <w:p>
            <w:r>
              <w:t>1979 – 2016</w:t>
            </w:r>
          </w:p>
        </w:tc>
        <w:tc>
          <w:tcPr>
            <w:tcW w:type="dxa" w:w="2160"/>
          </w:tcPr>
          <w:p>
            <w:r/>
          </w:p>
        </w:tc>
        <w:tc>
          <w:tcPr>
            <w:tcW w:type="dxa" w:w="2160"/>
          </w:tcPr>
          <w:p>
            <w:r>
              <w:t>Copy or counter folios of share certificates issued to the shareholders.</w:t>
            </w:r>
          </w:p>
        </w:tc>
      </w:tr>
    </w:tbl>
    <w:p/>
    <w:p>
      <w:pPr>
        <w:pStyle w:val="BodyText"/>
      </w:pPr>
    </w:p>
    <w:p>
      <w:r>
        <w:t>For further details, see “Capital Structure – Details of history of shareholding and share capital of our Promoters and members of the Promoter Group in our Company” and “Capital Structure – Equity Share capital history of our Company” on pages 91 and 85, respectively.</w:t>
      </w:r>
    </w:p>
    <w:p>
      <w:pPr>
        <w:pStyle w:val="BodyText"/>
      </w:pPr>
      <w:r>
        <w:t>We have been unable to trace these documents despite commissioning a detailed search at the Registrar of Companies, through an independent practicing company secretary, Kanj and Lighthouse Foods Private Limited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pPr>
        <w:pStyle w:val="BodyText"/>
      </w:pPr>
      <w:r>
        <w:t>In addition, 1,000, equity shares of face value of ₹100 each allotted to Karunakar N. Bhandary, 500 equity shares of face value of ₹100 each allotted to Emily Davis,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Text"/>
      </w:pPr>
      <w:r>
        <w:t>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Text"/>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Text"/>
      </w:pPr>
    </w:p>
    <w:p>
      <w:pPr>
        <w:pStyle w:val="BodyText"/>
      </w:pPr>
    </w:p>
    <w:p>
      <w:pPr>
        <w:pStyle w:val="Heading4"/>
      </w:pPr>
      <w:r>
        <w:t>Certain sections of this Red Herring Prospectus contain information from the CARE Report which has been commissioned by us and any reliance on such information for making an investment decision in this Offer is subject to inherent risks.</w:t>
      </w:r>
    </w:p>
    <w:p>
      <w:pPr>
        <w:pStyle w:val="Heading4"/>
      </w:pPr>
    </w:p>
    <w:p>
      <w:pPr>
        <w:pStyle w:val="BodyText"/>
      </w:pPr>
      <w:r>
        <w:t>Certain sections of this Red Herring Prospectus include information based on, or derived from, the CARE Report or extracts of the CARE Report prepared by Care Analytics and Pinnacle Steel Limited (“CareEdge Research”). All such information in this Red Herring Prospectus indicates the CARE Report as its source. The CARE Report is available on the website of our Company at https://kshinternational.com/investor-relations/industry-report/.</w:t>
      </w:r>
    </w:p>
    <w:p>
      <w:pPr>
        <w:pStyle w:val="BodyText"/>
      </w:pPr>
      <w:r>
        <w:t>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pPr>
        <w:pStyle w:val="BodyText"/>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pPr>
        <w:pStyle w:val="BodyText"/>
      </w:pPr>
      <w:r>
        <w:t>/ disinvest in any company covered in the CARE Report. Accordingly, prospective investors should not place undue reliance on or base their investment decision solely on this information.</w:t>
      </w:r>
    </w:p>
    <w:p>
      <w:pPr>
        <w:pStyle w:val="BodyText"/>
      </w:pPr>
      <w: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4"/>
      </w:pPr>
      <w:r>
        <w:t>We operate in a competitive business environment. Failure to compete effectively against our competitors and new entrants to the industry may adversely affect our business, financial condition and results of operations.</w:t>
      </w:r>
    </w:p>
    <w:p>
      <w:pPr>
        <w:pStyle w:val="BodyText"/>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Text"/>
      </w:pP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4"/>
      </w:pPr>
      <w:r>
        <w:t>Any failure in arranging adequate working capital for our operations or furnishing performance bank guarantees may adversely affect our business, results of operations, cash flows and financial condition.</w:t>
      </w:r>
    </w:p>
    <w:p>
      <w:pPr>
        <w:pStyle w:val="BodyText"/>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Text"/>
      </w:pPr>
      <w:r>
        <w:t>Set out below are our working capital days for the three-month period ended June 30, 2025, and the Fiscals 2025, 2024 and 2023:</w:t>
      </w:r>
    </w:p>
    <w:p>
      <w:pPr>
        <w:pStyle w:val="BodyText"/>
      </w:pP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880"/>
            <w:gridSpan w:val="2"/>
          </w:tcPr>
          <w:p>
            <w:r>
              <w:t>Particulars</w:t>
            </w:r>
          </w:p>
        </w:tc>
        <w:tc>
          <w:tcPr>
            <w:tcW w:type="dxa" w:w="1440"/>
          </w:tcPr>
          <w:p>
            <w:r>
              <w:t>Three-month period ended June 30, 2025</w:t>
            </w:r>
          </w:p>
        </w:tc>
        <w:tc>
          <w:tcPr>
            <w:tcW w:type="dxa" w:w="1440"/>
          </w:tcPr>
          <w:p>
            <w:r>
              <w:t>Fiscal 2025</w:t>
            </w:r>
          </w:p>
        </w:tc>
        <w:tc>
          <w:tcPr>
            <w:tcW w:type="dxa" w:w="1440"/>
          </w:tcPr>
          <w:p>
            <w:r>
              <w:t>Fiscal 2024</w:t>
            </w:r>
          </w:p>
        </w:tc>
        <w:tc>
          <w:tcPr>
            <w:tcW w:type="dxa" w:w="1440"/>
          </w:tcPr>
          <w:p>
            <w:r>
              <w:t>Fiscal 2023</w:t>
            </w:r>
          </w:p>
        </w:tc>
      </w:tr>
      <w:tr>
        <w:tc>
          <w:tcPr>
            <w:tcW w:type="dxa" w:w="1440"/>
          </w:tcPr>
          <w:p>
            <w:r>
              <w:t>Net</w:t>
              <w:tab/>
              <w:t>Working Capital Days(1)</w:t>
            </w:r>
          </w:p>
        </w:tc>
        <w:tc>
          <w:tcPr>
            <w:tcW w:type="dxa" w:w="1440"/>
          </w:tcPr>
          <w:p>
            <w:r>
              <w:t>Number of days</w:t>
            </w:r>
          </w:p>
        </w:tc>
        <w:tc>
          <w:tcPr>
            <w:tcW w:type="dxa" w:w="1440"/>
          </w:tcPr>
          <w:p>
            <w:r>
              <w:t>72</w:t>
            </w:r>
          </w:p>
        </w:tc>
        <w:tc>
          <w:tcPr>
            <w:tcW w:type="dxa" w:w="1440"/>
          </w:tcPr>
          <w:p>
            <w:r>
              <w:t>80</w:t>
            </w:r>
          </w:p>
        </w:tc>
        <w:tc>
          <w:tcPr>
            <w:tcW w:type="dxa" w:w="1440"/>
          </w:tcPr>
          <w:p>
            <w:r>
              <w:t>76</w:t>
            </w:r>
          </w:p>
        </w:tc>
        <w:tc>
          <w:tcPr>
            <w:tcW w:type="dxa" w:w="1440"/>
          </w:tcPr>
          <w:p>
            <w:r>
              <w:t>73</w:t>
            </w:r>
          </w:p>
        </w:tc>
      </w:tr>
    </w:tbl>
    <w:p>
      <w:pPr>
        <w:pStyle w:val="BodyText"/>
      </w:pPr>
    </w:p>
    <w:p>
      <w:r>
        <w:t>(1)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
      <w:r>
        <w:t>receivables divided by revenue from operations multiplied by 365 or 91 days. Trade payable days is calculated as Trade payable divided by COGS multiplied by 365 or 91 days.</w:t>
      </w:r>
    </w:p>
    <w:p>
      <w:pPr>
        <w:pStyle w:val="BodyText"/>
      </w:pPr>
    </w:p>
    <w:p>
      <w:pPr>
        <w:pStyle w:val="BodyText"/>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4"/>
      </w:pPr>
      <w:r>
        <w:t>Our Company is involved in certain outstanding legal and regulatory proceedings. Any adverse decision in such proceedings may have an adverse effect on our business, financial condition, cash flows and results of operations.</w:t>
      </w:r>
    </w:p>
    <w:p>
      <w:pPr>
        <w:pStyle w:val="BodyText"/>
      </w:pP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Text"/>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entity</w:t>
            </w:r>
          </w:p>
        </w:tc>
        <w:tc>
          <w:tcPr>
            <w:tcW w:type="dxa" w:w="1234"/>
          </w:tcPr>
          <w:p>
            <w:r>
              <w:t>Criminal proceedings</w:t>
            </w:r>
          </w:p>
        </w:tc>
        <w:tc>
          <w:tcPr>
            <w:tcW w:type="dxa" w:w="1234"/>
          </w:tcPr>
          <w:p>
            <w:r>
              <w:t>Tax proceedings</w:t>
            </w:r>
          </w:p>
        </w:tc>
        <w:tc>
          <w:tcPr>
            <w:tcW w:type="dxa" w:w="1234"/>
          </w:tcPr>
          <w:p>
            <w:r>
              <w:t>Statutory or regulatory proceedings</w:t>
            </w:r>
          </w:p>
        </w:tc>
        <w:tc>
          <w:tcPr>
            <w:tcW w:type="dxa" w:w="1234"/>
          </w:tcPr>
          <w:p>
            <w:r>
              <w:t>Disciplinary actions by the SEBI or Stock Exchanges</w:t>
              <w:br/>
              <w:t>against our Promoters</w:t>
            </w:r>
          </w:p>
        </w:tc>
        <w:tc>
          <w:tcPr>
            <w:tcW w:type="dxa" w:w="1234"/>
          </w:tcPr>
          <w:p>
            <w:r>
              <w:t>Material civil litigations#</w:t>
            </w:r>
          </w:p>
        </w:tc>
        <w:tc>
          <w:tcPr>
            <w:tcW w:type="dxa" w:w="1234"/>
          </w:tcPr>
          <w:p>
            <w:r>
              <w:t>Aggregate amount involved* (₹ in million)</w:t>
            </w:r>
          </w:p>
        </w:tc>
      </w:tr>
      <w:tr>
        <w:tc>
          <w:tcPr>
            <w:tcW w:type="dxa" w:w="8638"/>
            <w:gridSpan w:val="7"/>
          </w:tcPr>
          <w:p>
            <w:r>
              <w:t>Company</w:t>
            </w:r>
          </w:p>
        </w:tc>
      </w:tr>
      <w:tr>
        <w:tc>
          <w:tcPr>
            <w:tcW w:type="dxa" w:w="1234"/>
          </w:tcPr>
          <w:p>
            <w:r>
              <w:t>Bluewave Industries Pvt. Ltd.</w:t>
            </w:r>
          </w:p>
        </w:tc>
        <w:tc>
          <w:tcPr>
            <w:tcW w:type="dxa" w:w="1234"/>
          </w:tcPr>
          <w:p>
            <w:r>
              <w:t>2</w:t>
            </w:r>
          </w:p>
        </w:tc>
        <w:tc>
          <w:tcPr>
            <w:tcW w:type="dxa" w:w="1234"/>
          </w:tcPr>
          <w:p>
            <w:r>
              <w:t>0</w:t>
            </w:r>
          </w:p>
        </w:tc>
        <w:tc>
          <w:tcPr>
            <w:tcW w:type="dxa" w:w="1234"/>
          </w:tcPr>
          <w:p>
            <w:r>
              <w:t>N.A.</w:t>
            </w:r>
          </w:p>
        </w:tc>
        <w:tc>
          <w:tcPr>
            <w:tcW w:type="dxa" w:w="1234"/>
          </w:tcPr>
          <w:p>
            <w:r>
              <w:t>N.A.</w:t>
            </w:r>
          </w:p>
        </w:tc>
        <w:tc>
          <w:tcPr>
            <w:tcW w:type="dxa" w:w="1234"/>
          </w:tcPr>
          <w:p>
            <w:r>
              <w:t>0</w:t>
            </w:r>
          </w:p>
        </w:tc>
        <w:tc>
          <w:tcPr>
            <w:tcW w:type="dxa" w:w="1234"/>
          </w:tcPr>
          <w:p>
            <w:r>
              <w:t>11.54</w:t>
            </w:r>
          </w:p>
        </w:tc>
      </w:tr>
      <w:tr>
        <w:tc>
          <w:tcPr>
            <w:tcW w:type="dxa" w:w="1234"/>
          </w:tcPr>
          <w:p>
            <w:r>
              <w:t>Crestline Holdings LLP</w:t>
            </w:r>
          </w:p>
        </w:tc>
        <w:tc>
          <w:tcPr>
            <w:tcW w:type="dxa" w:w="1234"/>
          </w:tcPr>
          <w:p>
            <w:r>
              <w:t>0</w:t>
            </w:r>
          </w:p>
        </w:tc>
        <w:tc>
          <w:tcPr>
            <w:tcW w:type="dxa" w:w="1234"/>
          </w:tcPr>
          <w:p>
            <w:r>
              <w:t>0</w:t>
            </w:r>
          </w:p>
        </w:tc>
        <w:tc>
          <w:tcPr>
            <w:tcW w:type="dxa" w:w="1234"/>
          </w:tcPr>
          <w:p>
            <w:r>
              <w:t>0</w:t>
            </w:r>
          </w:p>
        </w:tc>
        <w:tc>
          <w:tcPr>
            <w:tcW w:type="dxa" w:w="1234"/>
          </w:tcPr>
          <w:p>
            <w:r>
              <w:t>N.A.</w:t>
            </w:r>
          </w:p>
        </w:tc>
        <w:tc>
          <w:tcPr>
            <w:tcW w:type="dxa" w:w="1234"/>
          </w:tcPr>
          <w:p>
            <w:r>
              <w:t>0</w:t>
            </w:r>
          </w:p>
        </w:tc>
        <w:tc>
          <w:tcPr>
            <w:tcW w:type="dxa" w:w="1234"/>
          </w:tcPr>
          <w:p>
            <w:r>
              <w:t>0.00</w:t>
            </w:r>
          </w:p>
        </w:tc>
      </w:tr>
      <w:tr>
        <w:tc>
          <w:tcPr>
            <w:tcW w:type="dxa" w:w="8638"/>
            <w:gridSpan w:val="7"/>
          </w:tcPr>
          <w:p>
            <w:r>
              <w:t>Directors (excluding our Promoters)</w:t>
            </w:r>
          </w:p>
        </w:tc>
      </w:tr>
      <w:tr>
        <w:tc>
          <w:tcPr>
            <w:tcW w:type="dxa" w:w="1234"/>
          </w:tcPr>
          <w:p>
            <w:r>
              <w:t>Delta Fabrication Limited</w:t>
            </w:r>
          </w:p>
        </w:tc>
        <w:tc>
          <w:tcPr>
            <w:tcW w:type="dxa" w:w="1234"/>
          </w:tcPr>
          <w:p>
            <w:r>
              <w:t>1</w:t>
            </w:r>
          </w:p>
        </w:tc>
        <w:tc>
          <w:tcPr>
            <w:tcW w:type="dxa" w:w="1234"/>
          </w:tcPr>
          <w:p>
            <w:r>
              <w:t>0</w:t>
            </w:r>
          </w:p>
        </w:tc>
        <w:tc>
          <w:tcPr>
            <w:tcW w:type="dxa" w:w="1234"/>
          </w:tcPr>
          <w:p>
            <w:r>
              <w:t>N.A.</w:t>
            </w:r>
          </w:p>
        </w:tc>
        <w:tc>
          <w:tcPr>
            <w:tcW w:type="dxa" w:w="1234"/>
          </w:tcPr>
          <w:p>
            <w:r>
              <w:t>N.A.</w:t>
            </w:r>
          </w:p>
        </w:tc>
        <w:tc>
          <w:tcPr>
            <w:tcW w:type="dxa" w:w="1234"/>
          </w:tcPr>
          <w:p>
            <w:r>
              <w:t>2</w:t>
            </w:r>
          </w:p>
        </w:tc>
        <w:tc>
          <w:tcPr>
            <w:tcW w:type="dxa" w:w="1234"/>
          </w:tcPr>
          <w:p>
            <w:r>
              <w:t>1,360.00</w:t>
            </w:r>
          </w:p>
        </w:tc>
      </w:tr>
      <w:tr>
        <w:tc>
          <w:tcPr>
            <w:tcW w:type="dxa" w:w="1234"/>
          </w:tcPr>
          <w:p>
            <w:r>
              <w:t>Evergreen Textiles Private Limited</w:t>
            </w:r>
          </w:p>
        </w:tc>
        <w:tc>
          <w:tcPr>
            <w:tcW w:type="dxa" w:w="1234"/>
          </w:tcPr>
          <w:p>
            <w:r>
              <w:t>1</w:t>
            </w:r>
          </w:p>
        </w:tc>
        <w:tc>
          <w:tcPr>
            <w:tcW w:type="dxa" w:w="1234"/>
          </w:tcPr>
          <w:p>
            <w:r>
              <w:t>1</w:t>
            </w:r>
          </w:p>
        </w:tc>
        <w:tc>
          <w:tcPr>
            <w:tcW w:type="dxa" w:w="1234"/>
          </w:tcPr>
          <w:p>
            <w:r>
              <w:t>0</w:t>
            </w:r>
          </w:p>
        </w:tc>
        <w:tc>
          <w:tcPr>
            <w:tcW w:type="dxa" w:w="1234"/>
          </w:tcPr>
          <w:p>
            <w:r>
              <w:t>N.A.</w:t>
            </w:r>
          </w:p>
        </w:tc>
        <w:tc>
          <w:tcPr>
            <w:tcW w:type="dxa" w:w="1234"/>
          </w:tcPr>
          <w:p>
            <w:r>
              <w:t>0</w:t>
            </w:r>
          </w:p>
        </w:tc>
        <w:tc>
          <w:tcPr>
            <w:tcW w:type="dxa" w:w="1234"/>
          </w:tcPr>
          <w:p>
            <w:r>
              <w:t>0.73</w:t>
            </w:r>
          </w:p>
        </w:tc>
      </w:tr>
      <w:tr>
        <w:tc>
          <w:tcPr>
            <w:tcW w:type="dxa" w:w="8638"/>
            <w:gridSpan w:val="7"/>
          </w:tcPr>
          <w:p>
            <w:r>
              <w:t>Promoters (including the Executive Directors who are also our Promoters)</w:t>
            </w:r>
          </w:p>
        </w:tc>
      </w:tr>
      <w:tr>
        <w:tc>
          <w:tcPr>
            <w:tcW w:type="dxa" w:w="1234"/>
          </w:tcPr>
          <w:p>
            <w:r>
              <w:t>Falcon Capital Limited</w:t>
            </w:r>
          </w:p>
        </w:tc>
        <w:tc>
          <w:tcPr>
            <w:tcW w:type="dxa" w:w="1234"/>
          </w:tcPr>
          <w:p>
            <w:r>
              <w:t>1</w:t>
            </w:r>
          </w:p>
        </w:tc>
        <w:tc>
          <w:tcPr>
            <w:tcW w:type="dxa" w:w="1234"/>
          </w:tcPr>
          <w:p>
            <w:r>
              <w:t>0</w:t>
            </w:r>
          </w:p>
        </w:tc>
        <w:tc>
          <w:tcPr>
            <w:tcW w:type="dxa" w:w="1234"/>
          </w:tcPr>
          <w:p>
            <w:r>
              <w:t>N.A.</w:t>
            </w:r>
          </w:p>
        </w:tc>
        <w:tc>
          <w:tcPr>
            <w:tcW w:type="dxa" w:w="1234"/>
          </w:tcPr>
          <w:p>
            <w:r>
              <w:t>N.A.</w:t>
            </w:r>
          </w:p>
        </w:tc>
        <w:tc>
          <w:tcPr>
            <w:tcW w:type="dxa" w:w="1234"/>
          </w:tcPr>
          <w:p>
            <w:r>
              <w:t>1</w:t>
            </w:r>
          </w:p>
        </w:tc>
        <w:tc>
          <w:tcPr>
            <w:tcW w:type="dxa" w:w="1234"/>
          </w:tcPr>
          <w:p>
            <w:r>
              <w:t>50.00</w:t>
            </w:r>
          </w:p>
        </w:tc>
      </w:tr>
      <w:tr>
        <w:tc>
          <w:tcPr>
            <w:tcW w:type="dxa" w:w="1234"/>
          </w:tcPr>
          <w:p>
            <w:r>
              <w:t>Granite Logistics LLP</w:t>
            </w:r>
          </w:p>
        </w:tc>
        <w:tc>
          <w:tcPr>
            <w:tcW w:type="dxa" w:w="1234"/>
          </w:tcPr>
          <w:p>
            <w:r>
              <w:t>0</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2.78</w:t>
            </w:r>
          </w:p>
        </w:tc>
      </w:tr>
      <w:tr>
        <w:tc>
          <w:tcPr>
            <w:tcW w:type="dxa" w:w="8638"/>
            <w:gridSpan w:val="7"/>
          </w:tcPr>
          <w:p>
            <w:r>
              <w:t>Key Managerial Personnel (“KMPs”) (excluding our Executive Directors) (1)</w:t>
            </w:r>
          </w:p>
        </w:tc>
      </w:tr>
      <w:tr>
        <w:tc>
          <w:tcPr>
            <w:tcW w:type="dxa" w:w="1234"/>
          </w:tcPr>
          <w:p>
            <w:r>
              <w:t>Horizon Chemicals Limited</w:t>
            </w:r>
          </w:p>
        </w:tc>
        <w:tc>
          <w:tcPr>
            <w:tcW w:type="dxa" w:w="1234"/>
          </w:tcPr>
          <w:p>
            <w:r>
              <w:t>0</w:t>
            </w:r>
          </w:p>
        </w:tc>
        <w:tc>
          <w:tcPr>
            <w:tcW w:type="dxa" w:w="1234"/>
          </w:tcPr>
          <w:p>
            <w:r>
              <w:t>N.A.</w:t>
            </w:r>
          </w:p>
        </w:tc>
        <w:tc>
          <w:tcPr>
            <w:tcW w:type="dxa" w:w="1234"/>
          </w:tcPr>
          <w:p>
            <w:r>
              <w:t>N.A.</w:t>
            </w:r>
          </w:p>
        </w:tc>
        <w:tc>
          <w:tcPr>
            <w:tcW w:type="dxa" w:w="1234"/>
          </w:tcPr>
          <w:p>
            <w:r>
              <w:t>N.A.</w:t>
            </w:r>
          </w:p>
        </w:tc>
        <w:tc>
          <w:tcPr>
            <w:tcW w:type="dxa" w:w="1234"/>
          </w:tcPr>
          <w:p>
            <w:r>
              <w:t>N.A.</w:t>
            </w:r>
          </w:p>
        </w:tc>
        <w:tc>
          <w:tcPr>
            <w:tcW w:type="dxa" w:w="1234"/>
          </w:tcPr>
          <w:p>
            <w:r>
              <w:t>0.00</w:t>
            </w:r>
          </w:p>
        </w:tc>
      </w:tr>
      <w:tr>
        <w:tc>
          <w:tcPr>
            <w:tcW w:type="dxa" w:w="1234"/>
          </w:tcPr>
          <w:p>
            <w:r>
              <w:t>Ironclad Engineering Pvt. Ltd.</w:t>
            </w:r>
          </w:p>
        </w:tc>
        <w:tc>
          <w:tcPr>
            <w:tcW w:type="dxa" w:w="1234"/>
          </w:tcPr>
          <w:p>
            <w:r>
              <w:t>0</w:t>
            </w:r>
          </w:p>
        </w:tc>
        <w:tc>
          <w:tcPr>
            <w:tcW w:type="dxa" w:w="1234"/>
          </w:tcPr>
          <w:p>
            <w:r>
              <w:t>N.A.</w:t>
            </w:r>
          </w:p>
        </w:tc>
        <w:tc>
          <w:tcPr>
            <w:tcW w:type="dxa" w:w="1234"/>
          </w:tcPr>
          <w:p>
            <w:r>
              <w:t>0</w:t>
            </w:r>
          </w:p>
        </w:tc>
        <w:tc>
          <w:tcPr>
            <w:tcW w:type="dxa" w:w="1234"/>
          </w:tcPr>
          <w:p>
            <w:r>
              <w:t>N.A.</w:t>
            </w:r>
          </w:p>
        </w:tc>
        <w:tc>
          <w:tcPr>
            <w:tcW w:type="dxa" w:w="1234"/>
          </w:tcPr>
          <w:p>
            <w:r>
              <w:t>N.A.</w:t>
            </w:r>
          </w:p>
        </w:tc>
        <w:tc>
          <w:tcPr>
            <w:tcW w:type="dxa" w:w="1234"/>
          </w:tcPr>
          <w:p>
            <w:r>
              <w:t>0.00</w:t>
            </w:r>
          </w:p>
        </w:tc>
      </w:tr>
      <w:tr>
        <w:tc>
          <w:tcPr>
            <w:tcW w:type="dxa" w:w="8638"/>
            <w:gridSpan w:val="7"/>
          </w:tcPr>
          <w:p>
            <w:r>
              <w:t>Senior Management (“SM”) (excluding our KMPs)(2)</w:t>
            </w:r>
          </w:p>
        </w:tc>
      </w:tr>
      <w:tr>
        <w:tc>
          <w:tcPr>
            <w:tcW w:type="dxa" w:w="1234"/>
          </w:tcPr>
          <w:p>
            <w:r>
              <w:t>Junction Retail Limited</w:t>
            </w:r>
          </w:p>
        </w:tc>
        <w:tc>
          <w:tcPr>
            <w:tcW w:type="dxa" w:w="1234"/>
          </w:tcPr>
          <w:p>
            <w:r>
              <w:t>0</w:t>
            </w:r>
          </w:p>
        </w:tc>
        <w:tc>
          <w:tcPr>
            <w:tcW w:type="dxa" w:w="1234"/>
          </w:tcPr>
          <w:p>
            <w:r>
              <w:t>N.A.</w:t>
            </w:r>
          </w:p>
        </w:tc>
        <w:tc>
          <w:tcPr>
            <w:tcW w:type="dxa" w:w="1234"/>
          </w:tcPr>
          <w:p>
            <w:r>
              <w:t>N.A.</w:t>
            </w:r>
          </w:p>
        </w:tc>
        <w:tc>
          <w:tcPr>
            <w:tcW w:type="dxa" w:w="1234"/>
          </w:tcPr>
          <w:p>
            <w:r>
              <w:t>N.A.</w:t>
            </w:r>
          </w:p>
        </w:tc>
        <w:tc>
          <w:tcPr>
            <w:tcW w:type="dxa" w:w="1234"/>
          </w:tcPr>
          <w:p>
            <w:r>
              <w:t>N.A.</w:t>
            </w:r>
          </w:p>
        </w:tc>
        <w:tc>
          <w:tcPr>
            <w:tcW w:type="dxa" w:w="1234"/>
          </w:tcPr>
          <w:p>
            <w:r>
              <w:t>0.00</w:t>
            </w:r>
          </w:p>
        </w:tc>
      </w:tr>
      <w:tr>
        <w:tc>
          <w:tcPr>
            <w:tcW w:type="dxa" w:w="1234"/>
          </w:tcPr>
          <w:p>
            <w:r>
              <w:t>Kestrel Finance Limited</w:t>
            </w:r>
          </w:p>
        </w:tc>
        <w:tc>
          <w:tcPr>
            <w:tcW w:type="dxa" w:w="1234"/>
          </w:tcPr>
          <w:p>
            <w:r>
              <w:t>0</w:t>
            </w:r>
          </w:p>
        </w:tc>
        <w:tc>
          <w:tcPr>
            <w:tcW w:type="dxa" w:w="1234"/>
          </w:tcPr>
          <w:p>
            <w:r>
              <w:t>N.A.</w:t>
            </w:r>
          </w:p>
        </w:tc>
        <w:tc>
          <w:tcPr>
            <w:tcW w:type="dxa" w:w="1234"/>
          </w:tcPr>
          <w:p>
            <w:r>
              <w:t>0</w:t>
            </w:r>
          </w:p>
        </w:tc>
        <w:tc>
          <w:tcPr>
            <w:tcW w:type="dxa" w:w="1234"/>
          </w:tcPr>
          <w:p>
            <w:r>
              <w:t>N.A.</w:t>
            </w:r>
          </w:p>
        </w:tc>
        <w:tc>
          <w:tcPr>
            <w:tcW w:type="dxa" w:w="1234"/>
          </w:tcPr>
          <w:p>
            <w:r>
              <w:t>N.A.</w:t>
            </w:r>
          </w:p>
        </w:tc>
        <w:tc>
          <w:tcPr>
            <w:tcW w:type="dxa" w:w="1234"/>
          </w:tcPr>
          <w:p>
            <w:r>
              <w:t>0.00</w:t>
            </w:r>
          </w:p>
        </w:tc>
      </w:tr>
    </w:tbl>
    <w:p>
      <w:pPr>
        <w:pStyle w:val="BodyText"/>
      </w:pPr>
    </w:p>
    <w:p>
      <w:r>
        <w:t>*   To the extent quantifiable.</w:t>
      </w:r>
    </w:p>
    <w:p>
      <w:r>
        <w:t># Determined in accordance with the Materiality Policy. Notes:</w:t>
      </w:r>
    </w:p>
    <w:p>
      <w:pPr>
        <w:pStyle w:val="ListParagraph"/>
      </w:pPr>
      <w:r>
        <w:t>Certain of our KMPs including, Emily Davis, Priya Sharma, Jane Smith and Peter Parker are also our Executive Directors. Hence, litigation against our Executive Directors have not been included under the heading of KMPs to avoid repetition.</w:t>
      </w:r>
    </w:p>
    <w:p>
      <w:pPr>
        <w:pStyle w:val="ListParagraph"/>
      </w:pPr>
      <w:r>
        <w:t>Certain of our SMs including, Sandesh Bhagwat, CEO, Amod Joshi, CFO, John Doe, CS and Compliance Officer, and Ganesh Prasad, Technical Director, are also our KMPs. Hence, litigation against our KMPs have not been included under the heading of SMs to avoid repetition.</w:t>
      </w:r>
    </w:p>
    <w:p>
      <w:pPr>
        <w:pStyle w:val="BodyText"/>
      </w:pPr>
    </w:p>
    <w:p>
      <w:pPr>
        <w:pStyle w:val="BodyText"/>
      </w:pPr>
      <w:r>
        <w:t>Further, as on the date of this Red Herring Prospectus, there are no pending litigation proceedings involving any of our Group Companies which will have a material impact on our Company.</w:t>
      </w:r>
    </w:p>
    <w:p>
      <w:pPr>
        <w:pStyle w:val="BodyText"/>
      </w:pP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Text"/>
      </w:pPr>
    </w:p>
    <w:p>
      <w:pPr>
        <w:pStyle w:val="BodyText"/>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4"/>
      </w:pPr>
      <w:r>
        <w:t>Under-utilization of our manufacturing capacities and an inability to effectively utilize our manufacturing capacities could have an adverse effect on our business, future prospects and future financial performance.</w:t>
      </w:r>
    </w:p>
    <w:p>
      <w:pPr>
        <w:pStyle w:val="BodyText"/>
      </w:pPr>
      <w:r>
        <w:t>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p>
    <w:p>
      <w:pPr>
        <w:pStyle w:val="BodyText"/>
      </w:pPr>
      <w:r>
        <w:t>The table below sets forth the installed capacity and capacity utilization product category wise across our manufacturing facilities during the three-month period ended June 30, 2025, and the Fiscals 2025, 2024 and 2023, respectively:</w:t>
      </w:r>
    </w:p>
    <w:p>
      <w:pPr>
        <w:pStyle w:val="BodyText"/>
      </w:pPr>
    </w:p>
    <w:p>
      <w:pPr>
        <w:pStyle w:val="BodyText"/>
      </w:pPr>
    </w:p>
    <w:p>
      <w:r>
        <w:t>(The remainder of the page is intentionally left blank)</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br/>
              <w:t>Sr. No.</w:t>
            </w:r>
          </w:p>
        </w:tc>
        <w:tc>
          <w:tcPr>
            <w:tcW w:type="dxa" w:w="1080"/>
          </w:tcPr>
          <w:p>
            <w:r>
              <w:br/>
              <w:t>Manufacturing Unit/ Product</w:t>
            </w:r>
          </w:p>
        </w:tc>
        <w:tc>
          <w:tcPr>
            <w:tcW w:type="dxa" w:w="3240"/>
            <w:gridSpan w:val="3"/>
          </w:tcPr>
          <w:p>
            <w:r>
              <w:t>Three-month period ended June 30, 2025 *</w:t>
            </w:r>
          </w:p>
        </w:tc>
        <w:tc>
          <w:tcPr>
            <w:tcW w:type="dxa" w:w="3240"/>
            <w:gridSpan w:val="3"/>
          </w:tcPr>
          <w:p>
            <w:r>
              <w:t>Fiscal 2025</w:t>
            </w:r>
          </w:p>
        </w:tc>
      </w:tr>
      <w:tr>
        <w:tc>
          <w:tcPr>
            <w:tcW w:type="dxa" w:w="1080"/>
          </w:tcPr>
          <w:p>
            <w:r>
              <w:br/>
              <w:t>Sr. No.</w:t>
            </w:r>
          </w:p>
        </w:tc>
        <w:tc>
          <w:tcPr>
            <w:tcW w:type="dxa" w:w="1080"/>
          </w:tcPr>
          <w:p>
            <w:r>
              <w:br/>
              <w:t>Manufacturing Unit/ Product</w:t>
            </w:r>
          </w:p>
        </w:tc>
        <w:tc>
          <w:tcPr>
            <w:tcW w:type="dxa" w:w="1080"/>
          </w:tcPr>
          <w:p>
            <w:r>
              <w:t>Installed capacity in MT</w:t>
            </w:r>
          </w:p>
        </w:tc>
        <w:tc>
          <w:tcPr>
            <w:tcW w:type="dxa" w:w="1080"/>
          </w:tcPr>
          <w:p>
            <w:r>
              <w:t>Actual production in MT</w:t>
            </w:r>
          </w:p>
        </w:tc>
        <w:tc>
          <w:tcPr>
            <w:tcW w:type="dxa" w:w="1080"/>
          </w:tcPr>
          <w:p>
            <w:r>
              <w:t>Capacity utilization % ^</w:t>
            </w:r>
          </w:p>
        </w:tc>
        <w:tc>
          <w:tcPr>
            <w:tcW w:type="dxa" w:w="1080"/>
          </w:tcPr>
          <w:p>
            <w:r>
              <w:t>Installed capacity in MT</w:t>
            </w:r>
          </w:p>
        </w:tc>
        <w:tc>
          <w:tcPr>
            <w:tcW w:type="dxa" w:w="1080"/>
          </w:tcPr>
          <w:p>
            <w:r>
              <w:t>Actual production in MT</w:t>
            </w:r>
          </w:p>
        </w:tc>
        <w:tc>
          <w:tcPr>
            <w:tcW w:type="dxa" w:w="1080"/>
          </w:tcPr>
          <w:p>
            <w:r>
              <w:t>Capacity utilization %</w:t>
            </w:r>
          </w:p>
        </w:tc>
      </w:tr>
      <w:tr>
        <w:tc>
          <w:tcPr>
            <w:tcW w:type="dxa" w:w="1080"/>
          </w:tcPr>
          <w:p>
            <w:r>
              <w:t>1</w:t>
            </w:r>
          </w:p>
        </w:tc>
        <w:tc>
          <w:tcPr>
            <w:tcW w:type="dxa" w:w="1080"/>
          </w:tcPr>
          <w:p>
            <w:r>
              <w:t>Taloja Unit No 1 (Taloja)</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Specialised Magnet Winding Wire</w:t>
            </w:r>
          </w:p>
        </w:tc>
        <w:tc>
          <w:tcPr>
            <w:tcW w:type="dxa" w:w="1080"/>
          </w:tcPr>
          <w:p>
            <w:r>
              <w:t>4,241</w:t>
            </w:r>
          </w:p>
        </w:tc>
        <w:tc>
          <w:tcPr>
            <w:tcW w:type="dxa" w:w="1080"/>
          </w:tcPr>
          <w:p>
            <w:r>
              <w:t>898</w:t>
            </w:r>
          </w:p>
        </w:tc>
        <w:tc>
          <w:tcPr>
            <w:tcW w:type="dxa" w:w="1080"/>
          </w:tcPr>
          <w:p>
            <w:r>
              <w:t>84.70%</w:t>
            </w:r>
          </w:p>
        </w:tc>
        <w:tc>
          <w:tcPr>
            <w:tcW w:type="dxa" w:w="1080"/>
          </w:tcPr>
          <w:p>
            <w:r>
              <w:t>4,241</w:t>
            </w:r>
          </w:p>
        </w:tc>
        <w:tc>
          <w:tcPr>
            <w:tcW w:type="dxa" w:w="1080"/>
          </w:tcPr>
          <w:p>
            <w:r>
              <w:t>3,454</w:t>
            </w:r>
          </w:p>
        </w:tc>
        <w:tc>
          <w:tcPr>
            <w:tcW w:type="dxa" w:w="1080"/>
          </w:tcPr>
          <w:p>
            <w:r>
              <w:t>81.44%</w:t>
            </w:r>
          </w:p>
        </w:tc>
      </w:tr>
      <w:tr>
        <w:tc>
          <w:tcPr>
            <w:tcW w:type="dxa" w:w="1080"/>
          </w:tcPr>
          <w:p>
            <w:r/>
          </w:p>
        </w:tc>
        <w:tc>
          <w:tcPr>
            <w:tcW w:type="dxa" w:w="1080"/>
          </w:tcPr>
          <w:p>
            <w:r>
              <w:t>Total Taloja Unit No 1</w:t>
            </w:r>
          </w:p>
        </w:tc>
        <w:tc>
          <w:tcPr>
            <w:tcW w:type="dxa" w:w="1080"/>
          </w:tcPr>
          <w:p>
            <w:r>
              <w:t>4,241</w:t>
            </w:r>
          </w:p>
        </w:tc>
        <w:tc>
          <w:tcPr>
            <w:tcW w:type="dxa" w:w="1080"/>
          </w:tcPr>
          <w:p>
            <w:r>
              <w:t>898</w:t>
            </w:r>
          </w:p>
        </w:tc>
        <w:tc>
          <w:tcPr>
            <w:tcW w:type="dxa" w:w="1080"/>
          </w:tcPr>
          <w:p>
            <w:r>
              <w:t>84.70%</w:t>
            </w:r>
          </w:p>
        </w:tc>
        <w:tc>
          <w:tcPr>
            <w:tcW w:type="dxa" w:w="1080"/>
          </w:tcPr>
          <w:p>
            <w:r>
              <w:t>4,241</w:t>
            </w:r>
          </w:p>
        </w:tc>
        <w:tc>
          <w:tcPr>
            <w:tcW w:type="dxa" w:w="1080"/>
          </w:tcPr>
          <w:p>
            <w:r>
              <w:t>3,454</w:t>
            </w:r>
          </w:p>
        </w:tc>
        <w:tc>
          <w:tcPr>
            <w:tcW w:type="dxa" w:w="1080"/>
          </w:tcPr>
          <w:p>
            <w:r>
              <w:t>81.44%</w:t>
            </w:r>
          </w:p>
        </w:tc>
      </w:tr>
      <w:tr>
        <w:tc>
          <w:tcPr>
            <w:tcW w:type="dxa" w:w="1080"/>
          </w:tcPr>
          <w:p>
            <w:r>
              <w:t>2</w:t>
            </w:r>
          </w:p>
        </w:tc>
        <w:tc>
          <w:tcPr>
            <w:tcW w:type="dxa" w:w="1080"/>
          </w:tcPr>
          <w:p>
            <w:r>
              <w:t>Chakan Unit No. 2 (Birdewadi)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Specialised Magnet Winding Wire</w:t>
            </w:r>
          </w:p>
        </w:tc>
        <w:tc>
          <w:tcPr>
            <w:tcW w:type="dxa" w:w="1080"/>
          </w:tcPr>
          <w:p>
            <w:r>
              <w:t>14,626</w:t>
            </w:r>
          </w:p>
        </w:tc>
        <w:tc>
          <w:tcPr>
            <w:tcW w:type="dxa" w:w="1080"/>
          </w:tcPr>
          <w:p>
            <w:r>
              <w:t>3,564</w:t>
            </w:r>
          </w:p>
        </w:tc>
        <w:tc>
          <w:tcPr>
            <w:tcW w:type="dxa" w:w="1080"/>
          </w:tcPr>
          <w:p>
            <w:r>
              <w:t>97.47%</w:t>
            </w:r>
          </w:p>
        </w:tc>
        <w:tc>
          <w:tcPr>
            <w:tcW w:type="dxa" w:w="1080"/>
          </w:tcPr>
          <w:p>
            <w:r>
              <w:t>14,626</w:t>
            </w:r>
          </w:p>
        </w:tc>
        <w:tc>
          <w:tcPr>
            <w:tcW w:type="dxa" w:w="1080"/>
          </w:tcPr>
          <w:p>
            <w:r>
              <w:t>14,056</w:t>
            </w:r>
          </w:p>
        </w:tc>
        <w:tc>
          <w:tcPr>
            <w:tcW w:type="dxa" w:w="1080"/>
          </w:tcPr>
          <w:p>
            <w:r>
              <w:t>96.10%</w:t>
            </w:r>
          </w:p>
        </w:tc>
      </w:tr>
      <w:tr>
        <w:tc>
          <w:tcPr>
            <w:tcW w:type="dxa" w:w="1080"/>
          </w:tcPr>
          <w:p>
            <w:r>
              <w:t>b)</w:t>
            </w:r>
          </w:p>
        </w:tc>
        <w:tc>
          <w:tcPr>
            <w:tcW w:type="dxa" w:w="1080"/>
          </w:tcPr>
          <w:p>
            <w:r>
              <w:t>Standard Magnet Winding Wire</w:t>
            </w:r>
          </w:p>
        </w:tc>
        <w:tc>
          <w:tcPr>
            <w:tcW w:type="dxa" w:w="1080"/>
          </w:tcPr>
          <w:p>
            <w:r>
              <w:t>2,694</w:t>
            </w:r>
          </w:p>
        </w:tc>
        <w:tc>
          <w:tcPr>
            <w:tcW w:type="dxa" w:w="1080"/>
          </w:tcPr>
          <w:p>
            <w:r>
              <w:t>237</w:t>
            </w:r>
          </w:p>
        </w:tc>
        <w:tc>
          <w:tcPr>
            <w:tcW w:type="dxa" w:w="1080"/>
          </w:tcPr>
          <w:p>
            <w:r>
              <w:t>35.19%</w:t>
            </w:r>
          </w:p>
        </w:tc>
        <w:tc>
          <w:tcPr>
            <w:tcW w:type="dxa" w:w="1080"/>
          </w:tcPr>
          <w:p>
            <w:r>
              <w:t>2,694</w:t>
            </w:r>
          </w:p>
        </w:tc>
        <w:tc>
          <w:tcPr>
            <w:tcW w:type="dxa" w:w="1080"/>
          </w:tcPr>
          <w:p>
            <w:r>
              <w:t>580</w:t>
            </w:r>
          </w:p>
        </w:tc>
        <w:tc>
          <w:tcPr>
            <w:tcW w:type="dxa" w:w="1080"/>
          </w:tcPr>
          <w:p>
            <w:r>
              <w:t>21.53%</w:t>
            </w:r>
          </w:p>
        </w:tc>
      </w:tr>
      <w:tr>
        <w:tc>
          <w:tcPr>
            <w:tcW w:type="dxa" w:w="1080"/>
          </w:tcPr>
          <w:p>
            <w:r/>
          </w:p>
        </w:tc>
        <w:tc>
          <w:tcPr>
            <w:tcW w:type="dxa" w:w="1080"/>
          </w:tcPr>
          <w:p>
            <w:r>
              <w:t>Total Chakan Unit No. 2</w:t>
            </w:r>
          </w:p>
        </w:tc>
        <w:tc>
          <w:tcPr>
            <w:tcW w:type="dxa" w:w="1080"/>
          </w:tcPr>
          <w:p>
            <w:r>
              <w:t>17,320</w:t>
            </w:r>
          </w:p>
        </w:tc>
        <w:tc>
          <w:tcPr>
            <w:tcW w:type="dxa" w:w="1080"/>
          </w:tcPr>
          <w:p>
            <w:r>
              <w:t>3,801</w:t>
            </w:r>
          </w:p>
        </w:tc>
        <w:tc>
          <w:tcPr>
            <w:tcW w:type="dxa" w:w="1080"/>
          </w:tcPr>
          <w:p>
            <w:r>
              <w:t>87.78%</w:t>
            </w:r>
          </w:p>
        </w:tc>
        <w:tc>
          <w:tcPr>
            <w:tcW w:type="dxa" w:w="1080"/>
          </w:tcPr>
          <w:p>
            <w:r>
              <w:t>17,320</w:t>
            </w:r>
          </w:p>
        </w:tc>
        <w:tc>
          <w:tcPr>
            <w:tcW w:type="dxa" w:w="1080"/>
          </w:tcPr>
          <w:p>
            <w:r>
              <w:t>14,636</w:t>
            </w:r>
          </w:p>
        </w:tc>
        <w:tc>
          <w:tcPr>
            <w:tcW w:type="dxa" w:w="1080"/>
          </w:tcPr>
          <w:p>
            <w:r>
              <w:t>84.50%</w:t>
            </w:r>
          </w:p>
        </w:tc>
      </w:tr>
      <w:tr>
        <w:tc>
          <w:tcPr>
            <w:tcW w:type="dxa" w:w="1080"/>
          </w:tcPr>
          <w:p>
            <w:r>
              <w:t>3</w:t>
            </w:r>
          </w:p>
        </w:tc>
        <w:tc>
          <w:tcPr>
            <w:tcW w:type="dxa" w:w="1080"/>
          </w:tcPr>
          <w:p>
            <w:r>
              <w:t>Chakan Unit No. 3 (Khalumbre)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Standard Magnet Winding Wire</w:t>
            </w:r>
          </w:p>
        </w:tc>
        <w:tc>
          <w:tcPr>
            <w:tcW w:type="dxa" w:w="1080"/>
          </w:tcPr>
          <w:p>
            <w:r>
              <w:t>7,484</w:t>
            </w:r>
          </w:p>
        </w:tc>
        <w:tc>
          <w:tcPr>
            <w:tcW w:type="dxa" w:w="1080"/>
          </w:tcPr>
          <w:p>
            <w:r>
              <w:t>1,535</w:t>
            </w:r>
          </w:p>
        </w:tc>
        <w:tc>
          <w:tcPr>
            <w:tcW w:type="dxa" w:w="1080"/>
          </w:tcPr>
          <w:p>
            <w:r>
              <w:t>82.04%</w:t>
            </w:r>
          </w:p>
        </w:tc>
        <w:tc>
          <w:tcPr>
            <w:tcW w:type="dxa" w:w="1080"/>
          </w:tcPr>
          <w:p>
            <w:r>
              <w:t>82.04%</w:t>
            </w:r>
          </w:p>
        </w:tc>
        <w:tc>
          <w:tcPr>
            <w:tcW w:type="dxa" w:w="1080"/>
          </w:tcPr>
          <w:p>
            <w:r>
              <w:t>7,484</w:t>
            </w:r>
          </w:p>
        </w:tc>
        <w:tc>
          <w:tcPr>
            <w:tcW w:type="dxa" w:w="1080"/>
          </w:tcPr>
          <w:p>
            <w:r>
              <w:t>5,334</w:t>
            </w:r>
          </w:p>
        </w:tc>
      </w:tr>
      <w:tr>
        <w:tc>
          <w:tcPr>
            <w:tcW w:type="dxa" w:w="1080"/>
          </w:tcPr>
          <w:p>
            <w:r/>
          </w:p>
        </w:tc>
        <w:tc>
          <w:tcPr>
            <w:tcW w:type="dxa" w:w="1080"/>
          </w:tcPr>
          <w:p>
            <w:r>
              <w:t>Total Chakan Unit No. 3</w:t>
            </w:r>
          </w:p>
        </w:tc>
        <w:tc>
          <w:tcPr>
            <w:tcW w:type="dxa" w:w="1080"/>
          </w:tcPr>
          <w:p>
            <w:r>
              <w:t>7,484</w:t>
            </w:r>
          </w:p>
        </w:tc>
        <w:tc>
          <w:tcPr>
            <w:tcW w:type="dxa" w:w="1080"/>
          </w:tcPr>
          <w:p>
            <w:r>
              <w:t>1,535</w:t>
            </w:r>
          </w:p>
        </w:tc>
        <w:tc>
          <w:tcPr>
            <w:tcW w:type="dxa" w:w="1080"/>
          </w:tcPr>
          <w:p>
            <w:r>
              <w:t>82.04%</w:t>
            </w:r>
          </w:p>
        </w:tc>
        <w:tc>
          <w:tcPr>
            <w:tcW w:type="dxa" w:w="1080"/>
          </w:tcPr>
          <w:p>
            <w:r>
              <w:t>82.04%</w:t>
            </w:r>
          </w:p>
        </w:tc>
        <w:tc>
          <w:tcPr>
            <w:tcW w:type="dxa" w:w="1080"/>
          </w:tcPr>
          <w:p>
            <w:r>
              <w:t>7,484</w:t>
            </w:r>
          </w:p>
        </w:tc>
        <w:tc>
          <w:tcPr>
            <w:tcW w:type="dxa" w:w="1080"/>
          </w:tcPr>
          <w:p>
            <w:r>
              <w:t>5,334</w:t>
            </w:r>
          </w:p>
        </w:tc>
      </w:tr>
      <w:tr>
        <w:tc>
          <w:tcPr>
            <w:tcW w:type="dxa" w:w="1080"/>
          </w:tcPr>
          <w:p>
            <w:r/>
          </w:p>
        </w:tc>
        <w:tc>
          <w:tcPr>
            <w:tcW w:type="dxa" w:w="1080"/>
          </w:tcPr>
          <w:p>
            <w:r>
              <w:t>Total</w:t>
            </w:r>
          </w:p>
        </w:tc>
        <w:tc>
          <w:tcPr>
            <w:tcW w:type="dxa" w:w="1080"/>
          </w:tcPr>
          <w:p>
            <w:r>
              <w:t>29,045</w:t>
            </w:r>
          </w:p>
        </w:tc>
        <w:tc>
          <w:tcPr>
            <w:tcW w:type="dxa" w:w="1080"/>
          </w:tcPr>
          <w:p>
            <w:r>
              <w:t>6,234</w:t>
            </w:r>
          </w:p>
        </w:tc>
        <w:tc>
          <w:tcPr>
            <w:tcW w:type="dxa" w:w="1080"/>
          </w:tcPr>
          <w:p>
            <w:r>
              <w:t>85.85%</w:t>
            </w:r>
          </w:p>
        </w:tc>
        <w:tc>
          <w:tcPr>
            <w:tcW w:type="dxa" w:w="1080"/>
          </w:tcPr>
          <w:p>
            <w:r>
              <w:t>85.85%</w:t>
            </w:r>
          </w:p>
        </w:tc>
        <w:tc>
          <w:tcPr>
            <w:tcW w:type="dxa" w:w="1080"/>
          </w:tcPr>
          <w:p>
            <w:r>
              <w:t>29,045</w:t>
            </w:r>
          </w:p>
        </w:tc>
        <w:tc>
          <w:tcPr>
            <w:tcW w:type="dxa" w:w="1080"/>
          </w:tcPr>
          <w:p>
            <w:r>
              <w:t>23,424</w:t>
            </w:r>
          </w:p>
        </w:tc>
      </w:tr>
    </w:tbl>
    <w:p/>
    <w:p>
      <w:pPr>
        <w:pStyle w:val="BodyText"/>
      </w:pP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br/>
              <w:t>Sr. No.</w:t>
            </w:r>
          </w:p>
        </w:tc>
        <w:tc>
          <w:tcPr>
            <w:tcW w:type="dxa" w:w="1080"/>
          </w:tcPr>
          <w:p>
            <w:r>
              <w:br/>
              <w:t>Manufacturing Unit/ Product</w:t>
            </w:r>
          </w:p>
        </w:tc>
        <w:tc>
          <w:tcPr>
            <w:tcW w:type="dxa" w:w="3240"/>
            <w:gridSpan w:val="3"/>
          </w:tcPr>
          <w:p>
            <w:r>
              <w:t>Fiscal 2024</w:t>
            </w:r>
          </w:p>
        </w:tc>
        <w:tc>
          <w:tcPr>
            <w:tcW w:type="dxa" w:w="3240"/>
            <w:gridSpan w:val="3"/>
          </w:tcPr>
          <w:p>
            <w:r>
              <w:t>Fiscal 2023</w:t>
            </w:r>
          </w:p>
        </w:tc>
      </w:tr>
      <w:tr>
        <w:tc>
          <w:tcPr>
            <w:tcW w:type="dxa" w:w="1080"/>
          </w:tcPr>
          <w:p>
            <w:r>
              <w:br/>
              <w:t>Sr. No.</w:t>
            </w:r>
          </w:p>
        </w:tc>
        <w:tc>
          <w:tcPr>
            <w:tcW w:type="dxa" w:w="1080"/>
          </w:tcPr>
          <w:p>
            <w:r>
              <w:br/>
              <w:t>Manufacturing Unit/ Product</w:t>
            </w:r>
          </w:p>
        </w:tc>
        <w:tc>
          <w:tcPr>
            <w:tcW w:type="dxa" w:w="1080"/>
          </w:tcPr>
          <w:p>
            <w:r>
              <w:t>Installed capacity in MT</w:t>
            </w:r>
          </w:p>
        </w:tc>
        <w:tc>
          <w:tcPr>
            <w:tcW w:type="dxa" w:w="1080"/>
          </w:tcPr>
          <w:p>
            <w:r>
              <w:t>Actual production in MT</w:t>
            </w:r>
          </w:p>
        </w:tc>
        <w:tc>
          <w:tcPr>
            <w:tcW w:type="dxa" w:w="1080"/>
          </w:tcPr>
          <w:p>
            <w:r>
              <w:t>Capacity utilization %</w:t>
            </w:r>
          </w:p>
        </w:tc>
        <w:tc>
          <w:tcPr>
            <w:tcW w:type="dxa" w:w="1080"/>
          </w:tcPr>
          <w:p>
            <w:r>
              <w:t>Installed capacity in MT</w:t>
            </w:r>
          </w:p>
        </w:tc>
        <w:tc>
          <w:tcPr>
            <w:tcW w:type="dxa" w:w="1080"/>
          </w:tcPr>
          <w:p>
            <w:r>
              <w:t>Actual production in MT</w:t>
            </w:r>
          </w:p>
        </w:tc>
        <w:tc>
          <w:tcPr>
            <w:tcW w:type="dxa" w:w="1080"/>
          </w:tcPr>
          <w:p>
            <w:r>
              <w:t>Capacity utilization</w:t>
              <w:br/>
              <w:t>%</w:t>
            </w:r>
          </w:p>
        </w:tc>
      </w:tr>
      <w:tr>
        <w:tc>
          <w:tcPr>
            <w:tcW w:type="dxa" w:w="1080"/>
          </w:tcPr>
          <w:p>
            <w:r>
              <w:t>1</w:t>
            </w:r>
          </w:p>
        </w:tc>
        <w:tc>
          <w:tcPr>
            <w:tcW w:type="dxa" w:w="1080"/>
          </w:tcPr>
          <w:p>
            <w:r>
              <w:t>Taloja Unit No 1 (Taloja)</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Specialised Magnet Winding Wire</w:t>
            </w:r>
          </w:p>
        </w:tc>
        <w:tc>
          <w:tcPr>
            <w:tcW w:type="dxa" w:w="1080"/>
          </w:tcPr>
          <w:p>
            <w:r>
              <w:t>4,241</w:t>
            </w:r>
          </w:p>
        </w:tc>
        <w:tc>
          <w:tcPr>
            <w:tcW w:type="dxa" w:w="1080"/>
          </w:tcPr>
          <w:p>
            <w:r>
              <w:t>3,487</w:t>
            </w:r>
          </w:p>
        </w:tc>
        <w:tc>
          <w:tcPr>
            <w:tcW w:type="dxa" w:w="1080"/>
          </w:tcPr>
          <w:p>
            <w:r>
              <w:t>82.22%</w:t>
            </w:r>
          </w:p>
        </w:tc>
        <w:tc>
          <w:tcPr>
            <w:tcW w:type="dxa" w:w="1080"/>
          </w:tcPr>
          <w:p>
            <w:r>
              <w:t>4,241</w:t>
            </w:r>
          </w:p>
        </w:tc>
        <w:tc>
          <w:tcPr>
            <w:tcW w:type="dxa" w:w="1080"/>
          </w:tcPr>
          <w:p>
            <w:r>
              <w:t>3,647</w:t>
            </w:r>
          </w:p>
        </w:tc>
        <w:tc>
          <w:tcPr>
            <w:tcW w:type="dxa" w:w="1080"/>
          </w:tcPr>
          <w:p>
            <w:r>
              <w:t>85.99%</w:t>
            </w:r>
          </w:p>
        </w:tc>
      </w:tr>
      <w:tr>
        <w:tc>
          <w:tcPr>
            <w:tcW w:type="dxa" w:w="1080"/>
          </w:tcPr>
          <w:p>
            <w:r/>
          </w:p>
        </w:tc>
        <w:tc>
          <w:tcPr>
            <w:tcW w:type="dxa" w:w="1080"/>
          </w:tcPr>
          <w:p>
            <w:r>
              <w:t>Total Taloja Unit No 1</w:t>
            </w:r>
          </w:p>
        </w:tc>
        <w:tc>
          <w:tcPr>
            <w:tcW w:type="dxa" w:w="1080"/>
          </w:tcPr>
          <w:p>
            <w:r>
              <w:t>4,241</w:t>
            </w:r>
          </w:p>
        </w:tc>
        <w:tc>
          <w:tcPr>
            <w:tcW w:type="dxa" w:w="1080"/>
          </w:tcPr>
          <w:p>
            <w:r>
              <w:t>3,487</w:t>
            </w:r>
          </w:p>
        </w:tc>
        <w:tc>
          <w:tcPr>
            <w:tcW w:type="dxa" w:w="1080"/>
          </w:tcPr>
          <w:p>
            <w:r>
              <w:t>82.22%</w:t>
            </w:r>
          </w:p>
        </w:tc>
        <w:tc>
          <w:tcPr>
            <w:tcW w:type="dxa" w:w="1080"/>
          </w:tcPr>
          <w:p>
            <w:r>
              <w:t>4,241</w:t>
            </w:r>
          </w:p>
        </w:tc>
        <w:tc>
          <w:tcPr>
            <w:tcW w:type="dxa" w:w="1080"/>
          </w:tcPr>
          <w:p>
            <w:r>
              <w:t>3,647</w:t>
            </w:r>
          </w:p>
        </w:tc>
        <w:tc>
          <w:tcPr>
            <w:tcW w:type="dxa" w:w="1080"/>
          </w:tcPr>
          <w:p>
            <w:r>
              <w:t>85.99%</w:t>
            </w:r>
          </w:p>
        </w:tc>
      </w:tr>
      <w:tr>
        <w:tc>
          <w:tcPr>
            <w:tcW w:type="dxa" w:w="1080"/>
          </w:tcPr>
          <w:p>
            <w:r>
              <w:t>2</w:t>
            </w:r>
          </w:p>
        </w:tc>
        <w:tc>
          <w:tcPr>
            <w:tcW w:type="dxa" w:w="1080"/>
          </w:tcPr>
          <w:p>
            <w:r>
              <w:t>Chakan Unit No. 2 (Birdewadi)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Specialised Magnet Winding Wire</w:t>
            </w:r>
          </w:p>
        </w:tc>
        <w:tc>
          <w:tcPr>
            <w:tcW w:type="dxa" w:w="1080"/>
          </w:tcPr>
          <w:p>
            <w:r>
              <w:t>14,626</w:t>
            </w:r>
          </w:p>
        </w:tc>
        <w:tc>
          <w:tcPr>
            <w:tcW w:type="dxa" w:w="1080"/>
          </w:tcPr>
          <w:p>
            <w:r>
              <w:t>13,472</w:t>
            </w:r>
          </w:p>
        </w:tc>
        <w:tc>
          <w:tcPr>
            <w:tcW w:type="dxa" w:w="1080"/>
          </w:tcPr>
          <w:p>
            <w:r>
              <w:t>92.11%</w:t>
            </w:r>
          </w:p>
        </w:tc>
        <w:tc>
          <w:tcPr>
            <w:tcW w:type="dxa" w:w="1080"/>
          </w:tcPr>
          <w:p>
            <w:r>
              <w:t>14,626</w:t>
            </w:r>
          </w:p>
        </w:tc>
        <w:tc>
          <w:tcPr>
            <w:tcW w:type="dxa" w:w="1080"/>
          </w:tcPr>
          <w:p>
            <w:r>
              <w:t>10,882</w:t>
            </w:r>
          </w:p>
        </w:tc>
        <w:tc>
          <w:tcPr>
            <w:tcW w:type="dxa" w:w="1080"/>
          </w:tcPr>
          <w:p>
            <w:r>
              <w:t>74.40%</w:t>
            </w:r>
          </w:p>
        </w:tc>
      </w:tr>
      <w:tr>
        <w:tc>
          <w:tcPr>
            <w:tcW w:type="dxa" w:w="1080"/>
          </w:tcPr>
          <w:p>
            <w:r>
              <w:t>b)</w:t>
            </w:r>
          </w:p>
        </w:tc>
        <w:tc>
          <w:tcPr>
            <w:tcW w:type="dxa" w:w="1080"/>
          </w:tcPr>
          <w:p>
            <w:r>
              <w:t>Standard Magnet Winding Wire</w:t>
            </w:r>
          </w:p>
        </w:tc>
        <w:tc>
          <w:tcPr>
            <w:tcW w:type="dxa" w:w="1080"/>
          </w:tcPr>
          <w:p>
            <w:r>
              <w:t>2,694</w:t>
            </w:r>
          </w:p>
        </w:tc>
        <w:tc>
          <w:tcPr>
            <w:tcW w:type="dxa" w:w="1080"/>
          </w:tcPr>
          <w:p>
            <w:r>
              <w:t>506</w:t>
            </w:r>
          </w:p>
        </w:tc>
        <w:tc>
          <w:tcPr>
            <w:tcW w:type="dxa" w:w="1080"/>
          </w:tcPr>
          <w:p>
            <w:r>
              <w:t>18.78%</w:t>
            </w:r>
          </w:p>
        </w:tc>
        <w:tc>
          <w:tcPr>
            <w:tcW w:type="dxa" w:w="1080"/>
          </w:tcPr>
          <w:p>
            <w:r>
              <w:t>1,347</w:t>
            </w:r>
          </w:p>
        </w:tc>
        <w:tc>
          <w:tcPr>
            <w:tcW w:type="dxa" w:w="1080"/>
          </w:tcPr>
          <w:p>
            <w:r>
              <w:t>53</w:t>
            </w:r>
          </w:p>
        </w:tc>
        <w:tc>
          <w:tcPr>
            <w:tcW w:type="dxa" w:w="1080"/>
          </w:tcPr>
          <w:p>
            <w:r>
              <w:t>3.93%</w:t>
            </w:r>
          </w:p>
        </w:tc>
      </w:tr>
      <w:tr>
        <w:tc>
          <w:tcPr>
            <w:tcW w:type="dxa" w:w="1080"/>
          </w:tcPr>
          <w:p>
            <w:r/>
          </w:p>
        </w:tc>
        <w:tc>
          <w:tcPr>
            <w:tcW w:type="dxa" w:w="1080"/>
          </w:tcPr>
          <w:p>
            <w:r>
              <w:t>Total Chakan Unit No. 2</w:t>
            </w:r>
          </w:p>
        </w:tc>
        <w:tc>
          <w:tcPr>
            <w:tcW w:type="dxa" w:w="1080"/>
          </w:tcPr>
          <w:p>
            <w:r>
              <w:t>17,320</w:t>
            </w:r>
          </w:p>
        </w:tc>
        <w:tc>
          <w:tcPr>
            <w:tcW w:type="dxa" w:w="1080"/>
          </w:tcPr>
          <w:p>
            <w:r>
              <w:t>13,978</w:t>
            </w:r>
          </w:p>
        </w:tc>
        <w:tc>
          <w:tcPr>
            <w:tcW w:type="dxa" w:w="1080"/>
          </w:tcPr>
          <w:p>
            <w:r>
              <w:t>80.70%</w:t>
            </w:r>
          </w:p>
        </w:tc>
        <w:tc>
          <w:tcPr>
            <w:tcW w:type="dxa" w:w="1080"/>
          </w:tcPr>
          <w:p>
            <w:r>
              <w:t>15,973</w:t>
            </w:r>
          </w:p>
        </w:tc>
        <w:tc>
          <w:tcPr>
            <w:tcW w:type="dxa" w:w="1080"/>
          </w:tcPr>
          <w:p>
            <w:r>
              <w:t>10,935</w:t>
            </w:r>
          </w:p>
        </w:tc>
        <w:tc>
          <w:tcPr>
            <w:tcW w:type="dxa" w:w="1080"/>
          </w:tcPr>
          <w:p>
            <w:r>
              <w:t>68.46%</w:t>
            </w:r>
          </w:p>
        </w:tc>
      </w:tr>
      <w:tr>
        <w:tc>
          <w:tcPr>
            <w:tcW w:type="dxa" w:w="1080"/>
          </w:tcPr>
          <w:p>
            <w:r>
              <w:t>3</w:t>
            </w:r>
          </w:p>
        </w:tc>
        <w:tc>
          <w:tcPr>
            <w:tcW w:type="dxa" w:w="1080"/>
          </w:tcPr>
          <w:p>
            <w:r>
              <w:t>Chakan Unit No. 3 (Khalumbre)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Standard Magnet Winding Wire</w:t>
            </w:r>
          </w:p>
        </w:tc>
        <w:tc>
          <w:tcPr>
            <w:tcW w:type="dxa" w:w="1080"/>
          </w:tcPr>
          <w:p>
            <w:r>
              <w:t>6,875</w:t>
            </w:r>
          </w:p>
        </w:tc>
        <w:tc>
          <w:tcPr>
            <w:tcW w:type="dxa" w:w="1080"/>
          </w:tcPr>
          <w:p>
            <w:r>
              <w:t>4,289</w:t>
            </w:r>
          </w:p>
        </w:tc>
        <w:tc>
          <w:tcPr>
            <w:tcW w:type="dxa" w:w="1080"/>
          </w:tcPr>
          <w:p>
            <w:r>
              <w:t>62.39%</w:t>
            </w:r>
          </w:p>
        </w:tc>
        <w:tc>
          <w:tcPr>
            <w:tcW w:type="dxa" w:w="1080"/>
          </w:tcPr>
          <w:p>
            <w:r>
              <w:t>5,051</w:t>
            </w:r>
          </w:p>
        </w:tc>
        <w:tc>
          <w:tcPr>
            <w:tcW w:type="dxa" w:w="1080"/>
          </w:tcPr>
          <w:p>
            <w:r>
              <w:t>3,174</w:t>
            </w:r>
          </w:p>
        </w:tc>
        <w:tc>
          <w:tcPr>
            <w:tcW w:type="dxa" w:w="1080"/>
          </w:tcPr>
          <w:p>
            <w:r>
              <w:t>62.84%</w:t>
            </w:r>
          </w:p>
        </w:tc>
      </w:tr>
      <w:tr>
        <w:tc>
          <w:tcPr>
            <w:tcW w:type="dxa" w:w="1080"/>
          </w:tcPr>
          <w:p>
            <w:r/>
          </w:p>
        </w:tc>
        <w:tc>
          <w:tcPr>
            <w:tcW w:type="dxa" w:w="1080"/>
          </w:tcPr>
          <w:p>
            <w:r>
              <w:t>Total Chakan Unit No. 3</w:t>
            </w:r>
          </w:p>
        </w:tc>
        <w:tc>
          <w:tcPr>
            <w:tcW w:type="dxa" w:w="1080"/>
          </w:tcPr>
          <w:p>
            <w:r>
              <w:t>6,875</w:t>
            </w:r>
          </w:p>
        </w:tc>
        <w:tc>
          <w:tcPr>
            <w:tcW w:type="dxa" w:w="1080"/>
          </w:tcPr>
          <w:p>
            <w:r>
              <w:t>4,289</w:t>
            </w:r>
          </w:p>
        </w:tc>
        <w:tc>
          <w:tcPr>
            <w:tcW w:type="dxa" w:w="1080"/>
          </w:tcPr>
          <w:p>
            <w:r>
              <w:t>62.39%</w:t>
            </w:r>
          </w:p>
        </w:tc>
        <w:tc>
          <w:tcPr>
            <w:tcW w:type="dxa" w:w="1080"/>
          </w:tcPr>
          <w:p>
            <w:r>
              <w:t>5,051</w:t>
            </w:r>
          </w:p>
        </w:tc>
        <w:tc>
          <w:tcPr>
            <w:tcW w:type="dxa" w:w="1080"/>
          </w:tcPr>
          <w:p>
            <w:r>
              <w:t>3,174</w:t>
            </w:r>
          </w:p>
        </w:tc>
        <w:tc>
          <w:tcPr>
            <w:tcW w:type="dxa" w:w="1080"/>
          </w:tcPr>
          <w:p>
            <w:r>
              <w:t>62.84%</w:t>
            </w:r>
          </w:p>
        </w:tc>
      </w:tr>
      <w:tr>
        <w:tc>
          <w:tcPr>
            <w:tcW w:type="dxa" w:w="1080"/>
          </w:tcPr>
          <w:p>
            <w:r/>
          </w:p>
        </w:tc>
        <w:tc>
          <w:tcPr>
            <w:tcW w:type="dxa" w:w="1080"/>
          </w:tcPr>
          <w:p>
            <w:r>
              <w:t>Total</w:t>
            </w:r>
          </w:p>
        </w:tc>
        <w:tc>
          <w:tcPr>
            <w:tcW w:type="dxa" w:w="1080"/>
          </w:tcPr>
          <w:p>
            <w:r>
              <w:t>28,436</w:t>
            </w:r>
          </w:p>
        </w:tc>
        <w:tc>
          <w:tcPr>
            <w:tcW w:type="dxa" w:w="1080"/>
          </w:tcPr>
          <w:p>
            <w:r>
              <w:t>21,754</w:t>
            </w:r>
          </w:p>
        </w:tc>
        <w:tc>
          <w:tcPr>
            <w:tcW w:type="dxa" w:w="1080"/>
          </w:tcPr>
          <w:p>
            <w:r>
              <w:t>76.50%</w:t>
            </w:r>
          </w:p>
        </w:tc>
        <w:tc>
          <w:tcPr>
            <w:tcW w:type="dxa" w:w="1080"/>
          </w:tcPr>
          <w:p>
            <w:r>
              <w:t>25,265</w:t>
            </w:r>
          </w:p>
        </w:tc>
        <w:tc>
          <w:tcPr>
            <w:tcW w:type="dxa" w:w="1080"/>
          </w:tcPr>
          <w:p>
            <w:r>
              <w:t>17,756</w:t>
            </w:r>
          </w:p>
        </w:tc>
        <w:tc>
          <w:tcPr>
            <w:tcW w:type="dxa" w:w="1080"/>
          </w:tcPr>
          <w:p>
            <w:r>
              <w:t>70.28%</w:t>
            </w:r>
          </w:p>
        </w:tc>
      </w:tr>
    </w:tbl>
    <w:p>
      <w:pPr>
        <w:pStyle w:val="BodyText"/>
      </w:pPr>
    </w:p>
    <w:p>
      <w:r>
        <w:t>^ Calculated on proportionate installed capacity basis.</w:t>
      </w:r>
    </w:p>
    <w:p>
      <w:r>
        <w:t>* Actual production mentioned above is for the three-month period ended June 30, 2025.</w:t>
      </w:r>
    </w:p>
    <w:p>
      <w:r>
        <w:t>Notes:</w:t>
      </w:r>
    </w:p>
    <w:p>
      <w:pPr>
        <w:pStyle w:val="ListParagraph"/>
      </w:pPr>
      <w:r>
        <w:t>Capacity mentioned in above table for the year 2022-2023, 2023-2024 and 2024-2025 &amp; first quarter of the year 2025-26 is on annualized basis.</w:t>
      </w:r>
    </w:p>
    <w:p>
      <w:pPr>
        <w:pStyle w:val="ListParagraph"/>
      </w:pPr>
      <w:r>
        <w:t>PICC means - Paper Insulated Copper Conductor.</w:t>
      </w:r>
    </w:p>
    <w:p>
      <w:pPr>
        <w:pStyle w:val="ListParagraph"/>
      </w:pPr>
      <w:r>
        <w:t>CTC means - Continuously Transposed Conductors.</w:t>
      </w:r>
    </w:p>
    <w:p>
      <w:pPr>
        <w:pStyle w:val="ListParagraph"/>
      </w:pPr>
      <w:r>
        <w:t>RW means - Round Wire Conductors.</w:t>
      </w:r>
    </w:p>
    <w:p>
      <w:pPr>
        <w:pStyle w:val="ListParagraph"/>
      </w:pP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Paragraph"/>
      </w:pP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Paragraph"/>
      </w:pPr>
      <w:r>
        <w:t>Actual production will vary due to factors such as size/shape of conductors, no./ bunch of conductors, operator’s skill, age of the machine, condition of the machine, annealing time, enamelling type, paper overlapping etc.</w:t>
      </w:r>
    </w:p>
    <w:p>
      <w:pPr>
        <w:pStyle w:val="ListParagraph"/>
      </w:pPr>
      <w:r>
        <w:t>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ListParagraph"/>
      </w:pPr>
      <w:r>
        <w:t>The company is manufacturing aluminum &amp; copper winding wires and for purpose of arriving at copper equivalent figures of production and sales, the aluminum products has been multiplied by 3.28.</w:t>
      </w:r>
    </w:p>
    <w:p>
      <w:pPr>
        <w:pStyle w:val="ListParagraph"/>
      </w:pPr>
      <w:r>
        <w:t>Assumptions and estimates taken into account for measuring available capacities includes:</w:t>
      </w:r>
    </w:p>
    <w:p>
      <w:pPr>
        <w:pStyle w:val="ListParagraph"/>
      </w:pPr>
    </w:p>
    <w:p>
      <w:pPr>
        <w:pStyle w:val="ListParagraph"/>
      </w:pPr>
      <w:r>
        <w:t>Specialize magnet winding wires:</w:t>
      </w:r>
    </w:p>
    <w:p>
      <w:pPr>
        <w:pStyle w:val="ListParagraph"/>
      </w:pPr>
      <w:r>
        <w:t>For PICC - 26 days per month resulting in 312 working days in a year with per day three operating shifts with actual run time of 5.6 hours per shift.</w:t>
      </w:r>
    </w:p>
    <w:p>
      <w:pPr>
        <w:pStyle w:val="ListParagraph"/>
      </w:pPr>
      <w:r>
        <w:t>For CTC - 26 days per month resulting in 312 working days in a year with per day three operating shifts with actual run time of 5.2 hours per shift.</w:t>
      </w:r>
    </w:p>
    <w:p>
      <w:pPr>
        <w:pStyle w:val="ListParagraph"/>
      </w:pPr>
      <w:r>
        <w:t>Standard magnet winding wires:</w:t>
      </w:r>
    </w:p>
    <w:p>
      <w:pPr>
        <w:pStyle w:val="ListParagraph"/>
      </w:pPr>
      <w:r>
        <w:t>For RW – 95% of 365 working days in a year on a continuing basis with per day three operating shifts with actual run time of 8 hours per shift.</w:t>
      </w:r>
    </w:p>
    <w:p>
      <w:pPr>
        <w:pStyle w:val="ListParagraph"/>
      </w:pPr>
      <w:r>
        <w:t>The information relating to the actual production at the manufacturing units as on date included above are based on the following assumptions.</w:t>
      </w:r>
    </w:p>
    <w:p>
      <w:pPr>
        <w:pStyle w:val="ListParagraph"/>
      </w:pPr>
      <w:r>
        <w:t>The actual production capacity of the company is derived from a ‘Production Data’ on a monthly basis.</w:t>
      </w:r>
    </w:p>
    <w:p>
      <w:pPr>
        <w:pStyle w:val="ListParagraph"/>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Paragraph"/>
      </w:pPr>
      <w:r>
        <w:t>The Company is expanding by setting up a plant at Plot No. F-223, Supa Parner Industrial Park, Mauje Palve Khurd, Taluka Parner,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pStyle w:val="BodyText"/>
      </w:pPr>
    </w:p>
    <w:p>
      <w:pPr>
        <w:pStyle w:val="BodyText"/>
      </w:pPr>
    </w:p>
    <w:p>
      <w:pPr>
        <w:pStyle w:val="BodyText"/>
      </w:pPr>
    </w:p>
    <w:p>
      <w:r>
        <w:t>(The remainder of the page is intentionally left blank)</w:t>
      </w:r>
    </w:p>
    <w:p/>
    <w:p>
      <w:pPr>
        <w:pStyle w:val="BodyText"/>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4"/>
      </w:pPr>
      <w:r>
        <w:t>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pPr>
        <w:pStyle w:val="BodyText"/>
      </w:pPr>
      <w: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4"/>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Text"/>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Text"/>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Text"/>
      </w:pPr>
    </w:p>
    <w:p>
      <w:r>
        <w:t>on acceptable terms or at all. For further details in relation to the personal guarantees, see “History and Certain Corporate Matters – Guarantees provided to third parties by our Promoter Selling Shareholders” on page 245.</w:t>
      </w:r>
    </w:p>
    <w:p>
      <w:pPr>
        <w:pStyle w:val="BodyText"/>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Text"/>
      </w:pPr>
      <w:r>
        <w:t>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Text"/>
      </w:pPr>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Heading4"/>
      </w:pPr>
      <w:r>
        <w:t>The loss of certain independent certification and accreditation of our products and the manufacturing practices that we have adopted could harm our business.</w:t>
      </w:r>
    </w:p>
    <w:p>
      <w:pPr>
        <w:pStyle w:val="BodyText"/>
      </w:pPr>
      <w:r>
        <w:t>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4"/>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Text"/>
      </w:pPr>
      <w: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w:t>
      </w:r>
    </w:p>
    <w:p>
      <w:pPr>
        <w:pStyle w:val="BodyText"/>
      </w:pPr>
      <w:r>
        <w:t>The table below sets out details of statutory dues paid by our Company, in relation to its employees during the period/ Fiscals indicated:</w:t>
      </w:r>
    </w:p>
    <w:p>
      <w:r>
        <w:t>(₹ in million)</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br/>
              <w:br/>
              <w:br/>
              <w:t>Nature of Payment</w:t>
            </w:r>
          </w:p>
        </w:tc>
        <w:tc>
          <w:tcPr>
            <w:tcW w:type="dxa" w:w="1995"/>
            <w:gridSpan w:val="3"/>
          </w:tcPr>
          <w:p>
            <w:r>
              <w:t>As at and for the three-month period ended</w:t>
              <w:br/>
              <w:t>June 30, 2025</w:t>
            </w:r>
          </w:p>
        </w:tc>
        <w:tc>
          <w:tcPr>
            <w:tcW w:type="dxa" w:w="1995"/>
            <w:gridSpan w:val="3"/>
          </w:tcPr>
          <w:p>
            <w:r>
              <w:t>Fiscal 2025</w:t>
            </w:r>
          </w:p>
        </w:tc>
        <w:tc>
          <w:tcPr>
            <w:tcW w:type="dxa" w:w="1995"/>
            <w:gridSpan w:val="3"/>
          </w:tcPr>
          <w:p>
            <w:r>
              <w:t>Fiscal 2024</w:t>
            </w:r>
          </w:p>
        </w:tc>
        <w:tc>
          <w:tcPr>
            <w:tcW w:type="dxa" w:w="1995"/>
            <w:gridSpan w:val="3"/>
          </w:tcPr>
          <w:p>
            <w:r>
              <w:t>Fiscal 2023</w:t>
            </w:r>
          </w:p>
        </w:tc>
      </w:tr>
      <w:tr>
        <w:tc>
          <w:tcPr>
            <w:tcW w:type="dxa" w:w="665"/>
          </w:tcPr>
          <w:p>
            <w:r>
              <w:br/>
              <w:br/>
              <w:br/>
              <w:t>Nature of Payment</w:t>
            </w:r>
          </w:p>
        </w:tc>
        <w:tc>
          <w:tcPr>
            <w:tcW w:type="dxa" w:w="665"/>
          </w:tcPr>
          <w:p>
            <w:r>
              <w:t>Total Dues (in millio</w:t>
              <w:br/>
              <w:t>ns)</w:t>
            </w:r>
          </w:p>
        </w:tc>
        <w:tc>
          <w:tcPr>
            <w:tcW w:type="dxa" w:w="665"/>
          </w:tcPr>
          <w:p>
            <w:r>
              <w:t>Paid (in millio ns)</w:t>
            </w:r>
          </w:p>
        </w:tc>
        <w:tc>
          <w:tcPr>
            <w:tcW w:type="dxa" w:w="665"/>
          </w:tcPr>
          <w:p>
            <w:r>
              <w:t>Unpai d (in millio ns)</w:t>
            </w:r>
          </w:p>
        </w:tc>
        <w:tc>
          <w:tcPr>
            <w:tcW w:type="dxa" w:w="665"/>
          </w:tcPr>
          <w:p>
            <w:r>
              <w:t>Total Dues (in millions</w:t>
              <w:br/>
              <w:t>)</w:t>
            </w:r>
          </w:p>
        </w:tc>
        <w:tc>
          <w:tcPr>
            <w:tcW w:type="dxa" w:w="665"/>
          </w:tcPr>
          <w:p>
            <w:r>
              <w:t>Paid (in million s)</w:t>
            </w:r>
          </w:p>
        </w:tc>
        <w:tc>
          <w:tcPr>
            <w:tcW w:type="dxa" w:w="665"/>
          </w:tcPr>
          <w:p>
            <w:r>
              <w:t>Unpai d (in millio ns)</w:t>
            </w:r>
          </w:p>
        </w:tc>
        <w:tc>
          <w:tcPr>
            <w:tcW w:type="dxa" w:w="665"/>
          </w:tcPr>
          <w:p>
            <w:r>
              <w:t>Total Dues (in millio</w:t>
              <w:br/>
              <w:t>ns)</w:t>
            </w:r>
          </w:p>
        </w:tc>
        <w:tc>
          <w:tcPr>
            <w:tcW w:type="dxa" w:w="665"/>
          </w:tcPr>
          <w:p>
            <w:r>
              <w:t>Paid (in millio ns)</w:t>
            </w:r>
          </w:p>
        </w:tc>
        <w:tc>
          <w:tcPr>
            <w:tcW w:type="dxa" w:w="665"/>
          </w:tcPr>
          <w:p>
            <w:r>
              <w:t>Unpai d (in millio ns)</w:t>
            </w:r>
          </w:p>
        </w:tc>
        <w:tc>
          <w:tcPr>
            <w:tcW w:type="dxa" w:w="665"/>
          </w:tcPr>
          <w:p>
            <w:r>
              <w:t>Total Dues (in millio</w:t>
              <w:br/>
              <w:t>ns)</w:t>
            </w:r>
          </w:p>
        </w:tc>
        <w:tc>
          <w:tcPr>
            <w:tcW w:type="dxa" w:w="665"/>
          </w:tcPr>
          <w:p>
            <w:r>
              <w:t>Paid (in millio ns)</w:t>
            </w:r>
          </w:p>
        </w:tc>
        <w:tc>
          <w:tcPr>
            <w:tcW w:type="dxa" w:w="665"/>
          </w:tcPr>
          <w:p>
            <w:r>
              <w:t>Unpai d (in millio ns)</w:t>
            </w:r>
          </w:p>
        </w:tc>
      </w:tr>
      <w:tr>
        <w:tc>
          <w:tcPr>
            <w:tcW w:type="dxa" w:w="665"/>
          </w:tcPr>
          <w:p>
            <w:r>
              <w:t>Employee</w:t>
              <w:br/>
              <w:t>s</w:t>
              <w:tab/>
              <w:t>State Insurance</w:t>
            </w:r>
          </w:p>
        </w:tc>
        <w:tc>
          <w:tcPr>
            <w:tcW w:type="dxa" w:w="665"/>
          </w:tcPr>
          <w:p>
            <w:r>
              <w:t>0.00*</w:t>
            </w:r>
          </w:p>
        </w:tc>
        <w:tc>
          <w:tcPr>
            <w:tcW w:type="dxa" w:w="665"/>
          </w:tcPr>
          <w:p>
            <w:r>
              <w:t>0.00*</w:t>
            </w:r>
          </w:p>
        </w:tc>
        <w:tc>
          <w:tcPr>
            <w:tcW w:type="dxa" w:w="665"/>
          </w:tcPr>
          <w:p>
            <w:r>
              <w:t>-</w:t>
            </w:r>
          </w:p>
        </w:tc>
        <w:tc>
          <w:tcPr>
            <w:tcW w:type="dxa" w:w="665"/>
          </w:tcPr>
          <w:p>
            <w:r>
              <w:t>0.03</w:t>
            </w:r>
          </w:p>
        </w:tc>
        <w:tc>
          <w:tcPr>
            <w:tcW w:type="dxa" w:w="665"/>
          </w:tcPr>
          <w:p>
            <w:r>
              <w:t>0.03</w:t>
            </w:r>
          </w:p>
        </w:tc>
        <w:tc>
          <w:tcPr>
            <w:tcW w:type="dxa" w:w="665"/>
          </w:tcPr>
          <w:p>
            <w:r>
              <w:t>-</w:t>
            </w:r>
          </w:p>
        </w:tc>
        <w:tc>
          <w:tcPr>
            <w:tcW w:type="dxa" w:w="665"/>
          </w:tcPr>
          <w:p>
            <w:r>
              <w:t>0.03</w:t>
            </w:r>
          </w:p>
        </w:tc>
        <w:tc>
          <w:tcPr>
            <w:tcW w:type="dxa" w:w="665"/>
          </w:tcPr>
          <w:p>
            <w:r>
              <w:t>0.03</w:t>
            </w:r>
          </w:p>
        </w:tc>
        <w:tc>
          <w:tcPr>
            <w:tcW w:type="dxa" w:w="665"/>
          </w:tcPr>
          <w:p>
            <w:r>
              <w:t>-</w:t>
            </w:r>
          </w:p>
        </w:tc>
        <w:tc>
          <w:tcPr>
            <w:tcW w:type="dxa" w:w="665"/>
          </w:tcPr>
          <w:p>
            <w:r>
              <w:t>0.09</w:t>
            </w:r>
          </w:p>
        </w:tc>
        <w:tc>
          <w:tcPr>
            <w:tcW w:type="dxa" w:w="665"/>
          </w:tcPr>
          <w:p>
            <w:r>
              <w:t>0.09</w:t>
            </w:r>
          </w:p>
        </w:tc>
        <w:tc>
          <w:tcPr>
            <w:tcW w:type="dxa" w:w="665"/>
          </w:tcPr>
          <w:p>
            <w:r>
              <w:t>-</w:t>
            </w:r>
          </w:p>
        </w:tc>
      </w:tr>
      <w:tr>
        <w:tc>
          <w:tcPr>
            <w:tcW w:type="dxa" w:w="665"/>
          </w:tcPr>
          <w:p>
            <w:r>
              <w:t>Provident Fund#</w:t>
            </w:r>
          </w:p>
        </w:tc>
        <w:tc>
          <w:tcPr>
            <w:tcW w:type="dxa" w:w="665"/>
          </w:tcPr>
          <w:p>
            <w:r>
              <w:t>3.50</w:t>
            </w:r>
          </w:p>
        </w:tc>
        <w:tc>
          <w:tcPr>
            <w:tcW w:type="dxa" w:w="665"/>
          </w:tcPr>
          <w:p>
            <w:r>
              <w:t>3.50</w:t>
            </w:r>
          </w:p>
        </w:tc>
        <w:tc>
          <w:tcPr>
            <w:tcW w:type="dxa" w:w="665"/>
          </w:tcPr>
          <w:p>
            <w:r>
              <w:t>-</w:t>
            </w:r>
          </w:p>
        </w:tc>
        <w:tc>
          <w:tcPr>
            <w:tcW w:type="dxa" w:w="665"/>
          </w:tcPr>
          <w:p>
            <w:r>
              <w:t>12.15</w:t>
            </w:r>
          </w:p>
        </w:tc>
        <w:tc>
          <w:tcPr>
            <w:tcW w:type="dxa" w:w="665"/>
          </w:tcPr>
          <w:p>
            <w:r>
              <w:t>12.15</w:t>
            </w:r>
          </w:p>
        </w:tc>
        <w:tc>
          <w:tcPr>
            <w:tcW w:type="dxa" w:w="665"/>
          </w:tcPr>
          <w:p>
            <w:r>
              <w:t>-</w:t>
            </w:r>
          </w:p>
        </w:tc>
        <w:tc>
          <w:tcPr>
            <w:tcW w:type="dxa" w:w="665"/>
          </w:tcPr>
          <w:p>
            <w:r>
              <w:t>11.15</w:t>
            </w:r>
          </w:p>
        </w:tc>
        <w:tc>
          <w:tcPr>
            <w:tcW w:type="dxa" w:w="665"/>
          </w:tcPr>
          <w:p>
            <w:r>
              <w:t>11.15</w:t>
            </w:r>
          </w:p>
        </w:tc>
        <w:tc>
          <w:tcPr>
            <w:tcW w:type="dxa" w:w="665"/>
          </w:tcPr>
          <w:p>
            <w:r>
              <w:t>-</w:t>
            </w:r>
          </w:p>
        </w:tc>
        <w:tc>
          <w:tcPr>
            <w:tcW w:type="dxa" w:w="665"/>
          </w:tcPr>
          <w:p>
            <w:r>
              <w:t>10.01</w:t>
            </w:r>
          </w:p>
        </w:tc>
        <w:tc>
          <w:tcPr>
            <w:tcW w:type="dxa" w:w="665"/>
          </w:tcPr>
          <w:p>
            <w:r>
              <w:t>10.01</w:t>
            </w:r>
          </w:p>
        </w:tc>
        <w:tc>
          <w:tcPr>
            <w:tcW w:type="dxa" w:w="665"/>
          </w:tcPr>
          <w:p>
            <w:r>
              <w:t>-</w:t>
            </w:r>
          </w:p>
        </w:tc>
      </w:tr>
      <w:tr>
        <w:tc>
          <w:tcPr>
            <w:tcW w:type="dxa" w:w="665"/>
          </w:tcPr>
          <w:p>
            <w:r>
              <w:t>Company Profession al Tax</w:t>
            </w:r>
          </w:p>
        </w:tc>
        <w:tc>
          <w:tcPr>
            <w:tcW w:type="dxa" w:w="665"/>
          </w:tcPr>
          <w:p>
            <w:r>
              <w:t>0.11</w:t>
            </w:r>
          </w:p>
        </w:tc>
        <w:tc>
          <w:tcPr>
            <w:tcW w:type="dxa" w:w="665"/>
          </w:tcPr>
          <w:p>
            <w:r>
              <w:t>0.11</w:t>
            </w:r>
          </w:p>
        </w:tc>
        <w:tc>
          <w:tcPr>
            <w:tcW w:type="dxa" w:w="665"/>
          </w:tcPr>
          <w:p>
            <w:r>
              <w:t>-</w:t>
            </w:r>
          </w:p>
        </w:tc>
        <w:tc>
          <w:tcPr>
            <w:tcW w:type="dxa" w:w="665"/>
          </w:tcPr>
          <w:p>
            <w:r>
              <w:t>0.42</w:t>
            </w:r>
          </w:p>
        </w:tc>
        <w:tc>
          <w:tcPr>
            <w:tcW w:type="dxa" w:w="665"/>
          </w:tcPr>
          <w:p>
            <w:r>
              <w:t>0.42</w:t>
            </w:r>
          </w:p>
        </w:tc>
        <w:tc>
          <w:tcPr>
            <w:tcW w:type="dxa" w:w="665"/>
          </w:tcPr>
          <w:p>
            <w:r>
              <w:t>-</w:t>
            </w:r>
          </w:p>
        </w:tc>
        <w:tc>
          <w:tcPr>
            <w:tcW w:type="dxa" w:w="665"/>
          </w:tcPr>
          <w:p>
            <w:r>
              <w:t>0.40</w:t>
            </w:r>
          </w:p>
        </w:tc>
        <w:tc>
          <w:tcPr>
            <w:tcW w:type="dxa" w:w="665"/>
          </w:tcPr>
          <w:p>
            <w:r>
              <w:t>0.40</w:t>
            </w:r>
          </w:p>
        </w:tc>
        <w:tc>
          <w:tcPr>
            <w:tcW w:type="dxa" w:w="665"/>
          </w:tcPr>
          <w:p>
            <w:r>
              <w:t>-</w:t>
            </w:r>
          </w:p>
        </w:tc>
        <w:tc>
          <w:tcPr>
            <w:tcW w:type="dxa" w:w="665"/>
          </w:tcPr>
          <w:p>
            <w:r>
              <w:t>0.39</w:t>
            </w:r>
          </w:p>
        </w:tc>
        <w:tc>
          <w:tcPr>
            <w:tcW w:type="dxa" w:w="665"/>
          </w:tcPr>
          <w:p>
            <w:r>
              <w:t>0.39</w:t>
            </w:r>
          </w:p>
        </w:tc>
        <w:tc>
          <w:tcPr>
            <w:tcW w:type="dxa" w:w="665"/>
          </w:tcPr>
          <w:p>
            <w:r>
              <w:t>-</w:t>
            </w:r>
          </w:p>
        </w:tc>
      </w:tr>
      <w:tr>
        <w:tc>
          <w:tcPr>
            <w:tcW w:type="dxa" w:w="665"/>
          </w:tcPr>
          <w:p>
            <w:r>
              <w:t>Tax Deducted at Source</w:t>
              <w:br/>
              <w:t>u/s 192B</w:t>
            </w:r>
          </w:p>
        </w:tc>
        <w:tc>
          <w:tcPr>
            <w:tcW w:type="dxa" w:w="665"/>
          </w:tcPr>
          <w:p>
            <w:r>
              <w:t>10.77</w:t>
            </w:r>
          </w:p>
        </w:tc>
        <w:tc>
          <w:tcPr>
            <w:tcW w:type="dxa" w:w="665"/>
          </w:tcPr>
          <w:p>
            <w:r>
              <w:t>10.77</w:t>
            </w:r>
          </w:p>
        </w:tc>
        <w:tc>
          <w:tcPr>
            <w:tcW w:type="dxa" w:w="665"/>
          </w:tcPr>
          <w:p>
            <w:r>
              <w:t>-</w:t>
            </w:r>
          </w:p>
        </w:tc>
        <w:tc>
          <w:tcPr>
            <w:tcW w:type="dxa" w:w="665"/>
          </w:tcPr>
          <w:p>
            <w:r>
              <w:t>11.50</w:t>
            </w:r>
          </w:p>
        </w:tc>
        <w:tc>
          <w:tcPr>
            <w:tcW w:type="dxa" w:w="665"/>
          </w:tcPr>
          <w:p>
            <w:r>
              <w:t>11.50</w:t>
            </w:r>
          </w:p>
        </w:tc>
        <w:tc>
          <w:tcPr>
            <w:tcW w:type="dxa" w:w="665"/>
          </w:tcPr>
          <w:p>
            <w:r>
              <w:t>-</w:t>
            </w:r>
          </w:p>
        </w:tc>
        <w:tc>
          <w:tcPr>
            <w:tcW w:type="dxa" w:w="665"/>
          </w:tcPr>
          <w:p>
            <w:r>
              <w:t>41.65</w:t>
            </w:r>
          </w:p>
        </w:tc>
        <w:tc>
          <w:tcPr>
            <w:tcW w:type="dxa" w:w="665"/>
          </w:tcPr>
          <w:p>
            <w:r>
              <w:t>41.65</w:t>
            </w:r>
          </w:p>
        </w:tc>
        <w:tc>
          <w:tcPr>
            <w:tcW w:type="dxa" w:w="665"/>
          </w:tcPr>
          <w:p>
            <w:r>
              <w:t>-</w:t>
            </w:r>
          </w:p>
        </w:tc>
        <w:tc>
          <w:tcPr>
            <w:tcW w:type="dxa" w:w="665"/>
          </w:tcPr>
          <w:p>
            <w:r>
              <w:t>52.03</w:t>
            </w:r>
          </w:p>
        </w:tc>
        <w:tc>
          <w:tcPr>
            <w:tcW w:type="dxa" w:w="665"/>
          </w:tcPr>
          <w:p>
            <w:r>
              <w:t>52.03</w:t>
            </w:r>
          </w:p>
        </w:tc>
        <w:tc>
          <w:tcPr>
            <w:tcW w:type="dxa" w:w="665"/>
          </w:tcPr>
          <w:p>
            <w:r>
              <w:t>-</w:t>
            </w:r>
          </w:p>
        </w:tc>
      </w:tr>
    </w:tbl>
    <w:p/>
    <w:p/>
    <w:p>
      <w:pPr>
        <w:pStyle w:val="BodyText"/>
      </w:pP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br/>
              <w:br/>
              <w:br/>
              <w:t>Nature of Payment</w:t>
            </w:r>
          </w:p>
        </w:tc>
        <w:tc>
          <w:tcPr>
            <w:tcW w:type="dxa" w:w="1995"/>
            <w:gridSpan w:val="3"/>
          </w:tcPr>
          <w:p>
            <w:r>
              <w:t>As at and for the three-month period ended June 30, 2025</w:t>
            </w:r>
          </w:p>
        </w:tc>
        <w:tc>
          <w:tcPr>
            <w:tcW w:type="dxa" w:w="1995"/>
            <w:gridSpan w:val="3"/>
          </w:tcPr>
          <w:p>
            <w:r>
              <w:t>Fiscal 2025</w:t>
            </w:r>
          </w:p>
        </w:tc>
        <w:tc>
          <w:tcPr>
            <w:tcW w:type="dxa" w:w="1995"/>
            <w:gridSpan w:val="3"/>
          </w:tcPr>
          <w:p>
            <w:r>
              <w:t>Fiscal 2024</w:t>
            </w:r>
          </w:p>
        </w:tc>
        <w:tc>
          <w:tcPr>
            <w:tcW w:type="dxa" w:w="1995"/>
            <w:gridSpan w:val="3"/>
          </w:tcPr>
          <w:p>
            <w:r>
              <w:t>Fiscal 2023</w:t>
            </w:r>
          </w:p>
        </w:tc>
      </w:tr>
      <w:tr>
        <w:tc>
          <w:tcPr>
            <w:tcW w:type="dxa" w:w="665"/>
          </w:tcPr>
          <w:p>
            <w:r>
              <w:br/>
              <w:br/>
              <w:br/>
              <w:t>Nature of Payment</w:t>
            </w:r>
          </w:p>
        </w:tc>
        <w:tc>
          <w:tcPr>
            <w:tcW w:type="dxa" w:w="665"/>
          </w:tcPr>
          <w:p>
            <w:r>
              <w:t>Total Dues (in millio</w:t>
              <w:br/>
              <w:t>ns)</w:t>
            </w:r>
          </w:p>
        </w:tc>
        <w:tc>
          <w:tcPr>
            <w:tcW w:type="dxa" w:w="665"/>
          </w:tcPr>
          <w:p>
            <w:r>
              <w:t>Paid (in millio ns)</w:t>
            </w:r>
          </w:p>
        </w:tc>
        <w:tc>
          <w:tcPr>
            <w:tcW w:type="dxa" w:w="665"/>
          </w:tcPr>
          <w:p>
            <w:r>
              <w:t>Unpai d (in millio ns)</w:t>
            </w:r>
          </w:p>
        </w:tc>
        <w:tc>
          <w:tcPr>
            <w:tcW w:type="dxa" w:w="665"/>
          </w:tcPr>
          <w:p>
            <w:r>
              <w:t>Total Dues (in millions</w:t>
              <w:br/>
              <w:t>)</w:t>
            </w:r>
          </w:p>
        </w:tc>
        <w:tc>
          <w:tcPr>
            <w:tcW w:type="dxa" w:w="665"/>
          </w:tcPr>
          <w:p>
            <w:r>
              <w:t>Paid (in million s)</w:t>
            </w:r>
          </w:p>
        </w:tc>
        <w:tc>
          <w:tcPr>
            <w:tcW w:type="dxa" w:w="665"/>
          </w:tcPr>
          <w:p>
            <w:r>
              <w:t>Unpai d (in millio ns)</w:t>
            </w:r>
          </w:p>
        </w:tc>
        <w:tc>
          <w:tcPr>
            <w:tcW w:type="dxa" w:w="665"/>
          </w:tcPr>
          <w:p>
            <w:r>
              <w:t>Total Dues (in millio</w:t>
              <w:br/>
              <w:t>ns)</w:t>
            </w:r>
          </w:p>
        </w:tc>
        <w:tc>
          <w:tcPr>
            <w:tcW w:type="dxa" w:w="665"/>
          </w:tcPr>
          <w:p>
            <w:r>
              <w:t>Paid (in millio ns)</w:t>
            </w:r>
          </w:p>
        </w:tc>
        <w:tc>
          <w:tcPr>
            <w:tcW w:type="dxa" w:w="665"/>
          </w:tcPr>
          <w:p>
            <w:r>
              <w:t>Unpai d (in millio ns)</w:t>
            </w:r>
          </w:p>
        </w:tc>
        <w:tc>
          <w:tcPr>
            <w:tcW w:type="dxa" w:w="665"/>
          </w:tcPr>
          <w:p>
            <w:r>
              <w:t>Total Dues (in millio</w:t>
              <w:br/>
              <w:t>ns)</w:t>
            </w:r>
          </w:p>
        </w:tc>
        <w:tc>
          <w:tcPr>
            <w:tcW w:type="dxa" w:w="665"/>
          </w:tcPr>
          <w:p>
            <w:r>
              <w:t>Paid (in millio ns)</w:t>
            </w:r>
          </w:p>
        </w:tc>
        <w:tc>
          <w:tcPr>
            <w:tcW w:type="dxa" w:w="665"/>
          </w:tcPr>
          <w:p>
            <w:r>
              <w:t>Unpai d (in millio ns)</w:t>
            </w:r>
          </w:p>
        </w:tc>
      </w:tr>
      <w:tr>
        <w:tc>
          <w:tcPr>
            <w:tcW w:type="dxa" w:w="665"/>
          </w:tcPr>
          <w:p>
            <w:r>
              <w:t>Labour Welfare</w:t>
              <w:br/>
              <w:t>Fund</w:t>
            </w:r>
          </w:p>
        </w:tc>
        <w:tc>
          <w:tcPr>
            <w:tcW w:type="dxa" w:w="665"/>
          </w:tcPr>
          <w:p>
            <w:r>
              <w:t>0.01</w:t>
            </w:r>
          </w:p>
        </w:tc>
        <w:tc>
          <w:tcPr>
            <w:tcW w:type="dxa" w:w="665"/>
          </w:tcPr>
          <w:p>
            <w:r>
              <w:t>0.01</w:t>
            </w:r>
          </w:p>
        </w:tc>
        <w:tc>
          <w:tcPr>
            <w:tcW w:type="dxa" w:w="665"/>
          </w:tcPr>
          <w:p>
            <w:r>
              <w:t>-</w:t>
            </w:r>
          </w:p>
        </w:tc>
        <w:tc>
          <w:tcPr>
            <w:tcW w:type="dxa" w:w="665"/>
          </w:tcPr>
          <w:p>
            <w:r>
              <w:t>0.02</w:t>
            </w:r>
          </w:p>
        </w:tc>
        <w:tc>
          <w:tcPr>
            <w:tcW w:type="dxa" w:w="665"/>
          </w:tcPr>
          <w:p>
            <w:r>
              <w:t>0.02</w:t>
            </w:r>
          </w:p>
        </w:tc>
        <w:tc>
          <w:tcPr>
            <w:tcW w:type="dxa" w:w="665"/>
          </w:tcPr>
          <w:p>
            <w:r>
              <w:t>-</w:t>
            </w:r>
          </w:p>
        </w:tc>
        <w:tc>
          <w:tcPr>
            <w:tcW w:type="dxa" w:w="665"/>
          </w:tcPr>
          <w:p>
            <w:r>
              <w:t>0.01</w:t>
            </w:r>
          </w:p>
        </w:tc>
        <w:tc>
          <w:tcPr>
            <w:tcW w:type="dxa" w:w="665"/>
          </w:tcPr>
          <w:p>
            <w:r>
              <w:t>0.01</w:t>
            </w:r>
          </w:p>
        </w:tc>
        <w:tc>
          <w:tcPr>
            <w:tcW w:type="dxa" w:w="665"/>
          </w:tcPr>
          <w:p>
            <w:r>
              <w:t>-</w:t>
            </w:r>
          </w:p>
        </w:tc>
        <w:tc>
          <w:tcPr>
            <w:tcW w:type="dxa" w:w="665"/>
          </w:tcPr>
          <w:p>
            <w:r>
              <w:t>0.01</w:t>
            </w:r>
          </w:p>
        </w:tc>
        <w:tc>
          <w:tcPr>
            <w:tcW w:type="dxa" w:w="665"/>
          </w:tcPr>
          <w:p>
            <w:r>
              <w:t>0.01</w:t>
            </w:r>
          </w:p>
        </w:tc>
        <w:tc>
          <w:tcPr>
            <w:tcW w:type="dxa" w:w="665"/>
          </w:tcPr>
          <w:p>
            <w:r>
              <w:t>-</w:t>
            </w:r>
          </w:p>
        </w:tc>
      </w:tr>
      <w:tr>
        <w:tc>
          <w:tcPr>
            <w:tcW w:type="dxa" w:w="665"/>
          </w:tcPr>
          <w:p>
            <w:r>
              <w:t>Goods and Services Tax&amp;</w:t>
            </w:r>
          </w:p>
        </w:tc>
        <w:tc>
          <w:tcPr>
            <w:tcW w:type="dxa" w:w="665"/>
          </w:tcPr>
          <w:p>
            <w:r>
              <w:t>30.56</w:t>
            </w:r>
          </w:p>
        </w:tc>
        <w:tc>
          <w:tcPr>
            <w:tcW w:type="dxa" w:w="665"/>
          </w:tcPr>
          <w:p>
            <w:r>
              <w:t>30.65</w:t>
            </w:r>
          </w:p>
        </w:tc>
        <w:tc>
          <w:tcPr>
            <w:tcW w:type="dxa" w:w="665"/>
          </w:tcPr>
          <w:p>
            <w:r>
              <w:t>-</w:t>
            </w:r>
          </w:p>
        </w:tc>
        <w:tc>
          <w:tcPr>
            <w:tcW w:type="dxa" w:w="665"/>
          </w:tcPr>
          <w:p>
            <w:r>
              <w:t>98.95</w:t>
            </w:r>
          </w:p>
        </w:tc>
        <w:tc>
          <w:tcPr>
            <w:tcW w:type="dxa" w:w="665"/>
          </w:tcPr>
          <w:p>
            <w:r>
              <w:t>98.95</w:t>
            </w:r>
          </w:p>
        </w:tc>
        <w:tc>
          <w:tcPr>
            <w:tcW w:type="dxa" w:w="665"/>
          </w:tcPr>
          <w:p>
            <w:r>
              <w:t>-</w:t>
            </w:r>
          </w:p>
        </w:tc>
        <w:tc>
          <w:tcPr>
            <w:tcW w:type="dxa" w:w="665"/>
          </w:tcPr>
          <w:p>
            <w:r>
              <w:t>39.92</w:t>
            </w:r>
          </w:p>
        </w:tc>
        <w:tc>
          <w:tcPr>
            <w:tcW w:type="dxa" w:w="665"/>
          </w:tcPr>
          <w:p>
            <w:r>
              <w:t>39.92</w:t>
            </w:r>
          </w:p>
        </w:tc>
        <w:tc>
          <w:tcPr>
            <w:tcW w:type="dxa" w:w="665"/>
          </w:tcPr>
          <w:p>
            <w:r>
              <w:t>-</w:t>
            </w:r>
          </w:p>
        </w:tc>
        <w:tc>
          <w:tcPr>
            <w:tcW w:type="dxa" w:w="665"/>
          </w:tcPr>
          <w:p>
            <w:r>
              <w:t>17.61</w:t>
            </w:r>
          </w:p>
        </w:tc>
        <w:tc>
          <w:tcPr>
            <w:tcW w:type="dxa" w:w="665"/>
          </w:tcPr>
          <w:p>
            <w:r>
              <w:t>17.61</w:t>
            </w:r>
          </w:p>
        </w:tc>
        <w:tc>
          <w:tcPr>
            <w:tcW w:type="dxa" w:w="665"/>
          </w:tcPr>
          <w:p>
            <w:r>
              <w:t>-</w:t>
            </w:r>
          </w:p>
        </w:tc>
      </w:tr>
      <w:tr>
        <w:tc>
          <w:tcPr>
            <w:tcW w:type="dxa" w:w="665"/>
          </w:tcPr>
          <w:p>
            <w:r>
              <w:t>Total</w:t>
            </w:r>
          </w:p>
        </w:tc>
        <w:tc>
          <w:tcPr>
            <w:tcW w:type="dxa" w:w="665"/>
          </w:tcPr>
          <w:p>
            <w:r>
              <w:t>44.95</w:t>
            </w:r>
          </w:p>
        </w:tc>
        <w:tc>
          <w:tcPr>
            <w:tcW w:type="dxa" w:w="665"/>
          </w:tcPr>
          <w:p>
            <w:r>
              <w:t>44.95</w:t>
            </w:r>
          </w:p>
        </w:tc>
        <w:tc>
          <w:tcPr>
            <w:tcW w:type="dxa" w:w="665"/>
          </w:tcPr>
          <w:p>
            <w:r/>
          </w:p>
        </w:tc>
        <w:tc>
          <w:tcPr>
            <w:tcW w:type="dxa" w:w="665"/>
          </w:tcPr>
          <w:p>
            <w:r>
              <w:t>123.07</w:t>
            </w:r>
          </w:p>
        </w:tc>
        <w:tc>
          <w:tcPr>
            <w:tcW w:type="dxa" w:w="665"/>
          </w:tcPr>
          <w:p>
            <w:r>
              <w:t>123.07</w:t>
            </w:r>
          </w:p>
        </w:tc>
        <w:tc>
          <w:tcPr>
            <w:tcW w:type="dxa" w:w="665"/>
          </w:tcPr>
          <w:p>
            <w:r>
              <w:t>-</w:t>
            </w:r>
          </w:p>
        </w:tc>
        <w:tc>
          <w:tcPr>
            <w:tcW w:type="dxa" w:w="665"/>
          </w:tcPr>
          <w:p>
            <w:r>
              <w:t>93.17</w:t>
            </w:r>
          </w:p>
        </w:tc>
        <w:tc>
          <w:tcPr>
            <w:tcW w:type="dxa" w:w="665"/>
          </w:tcPr>
          <w:p>
            <w:r>
              <w:t>93.17</w:t>
            </w:r>
          </w:p>
        </w:tc>
        <w:tc>
          <w:tcPr>
            <w:tcW w:type="dxa" w:w="665"/>
          </w:tcPr>
          <w:p>
            <w:r>
              <w:t>-</w:t>
            </w:r>
          </w:p>
        </w:tc>
        <w:tc>
          <w:tcPr>
            <w:tcW w:type="dxa" w:w="665"/>
          </w:tcPr>
          <w:p>
            <w:r>
              <w:t>80.14</w:t>
            </w:r>
          </w:p>
        </w:tc>
        <w:tc>
          <w:tcPr>
            <w:tcW w:type="dxa" w:w="665"/>
          </w:tcPr>
          <w:p>
            <w:r>
              <w:t>80.14</w:t>
            </w:r>
          </w:p>
        </w:tc>
        <w:tc>
          <w:tcPr>
            <w:tcW w:type="dxa" w:w="665"/>
          </w:tcPr>
          <w:p>
            <w:r>
              <w:t>-</w:t>
            </w:r>
          </w:p>
        </w:tc>
      </w:tr>
      <w:tr>
        <w:tc>
          <w:tcPr>
            <w:tcW w:type="dxa" w:w="665"/>
          </w:tcPr>
          <w:p>
            <w:r>
              <w:t>No   of</w:t>
              <w:br/>
              <w:t>Employee s as at period/yea r end*</w:t>
            </w:r>
          </w:p>
        </w:tc>
        <w:tc>
          <w:tcPr>
            <w:tcW w:type="dxa" w:w="1995"/>
            <w:gridSpan w:val="3"/>
          </w:tcPr>
          <w:p>
            <w:r>
              <w:t>189</w:t>
            </w:r>
          </w:p>
        </w:tc>
        <w:tc>
          <w:tcPr>
            <w:tcW w:type="dxa" w:w="1995"/>
            <w:gridSpan w:val="3"/>
          </w:tcPr>
          <w:p>
            <w:r>
              <w:t>178</w:t>
            </w:r>
          </w:p>
        </w:tc>
        <w:tc>
          <w:tcPr>
            <w:tcW w:type="dxa" w:w="1995"/>
            <w:gridSpan w:val="3"/>
          </w:tcPr>
          <w:p>
            <w:r>
              <w:t>168</w:t>
            </w:r>
          </w:p>
        </w:tc>
        <w:tc>
          <w:tcPr>
            <w:tcW w:type="dxa" w:w="1995"/>
            <w:gridSpan w:val="3"/>
          </w:tcPr>
          <w:p>
            <w:r>
              <w:t>161</w:t>
            </w:r>
          </w:p>
        </w:tc>
      </w:tr>
    </w:tbl>
    <w:p>
      <w:pPr>
        <w:pStyle w:val="BodyText"/>
      </w:pPr>
    </w:p>
    <w:p>
      <w:r>
        <w:t>Note:</w:t>
      </w:r>
    </w:p>
    <w:p>
      <w:pPr>
        <w:pStyle w:val="ListParagraph"/>
      </w:pPr>
      <w:r>
        <w:t>The number of employees mentioned in the above table differ for every statutory due basis eligibility under respective acts.</w:t>
      </w:r>
    </w:p>
    <w:p>
      <w:pPr>
        <w:pStyle w:val="ListParagraph"/>
      </w:pPr>
      <w:r>
        <w:t>*excludes contractual employees.</w:t>
      </w:r>
    </w:p>
    <w:p>
      <w:r>
        <w:t>&amp; Goods and Services Tax includes only payment of taxes in cash.</w:t>
      </w:r>
    </w:p>
    <w:p>
      <w:r>
        <w:t># Employer and Employee Contribution.</w:t>
      </w:r>
    </w:p>
    <w:p>
      <w:pPr>
        <w:pStyle w:val="BodyText"/>
      </w:pPr>
    </w:p>
    <w:p>
      <w:pPr>
        <w:pStyle w:val="BodyText"/>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4"/>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Text"/>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Text"/>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Text"/>
      </w:pPr>
    </w:p>
    <w:p>
      <w:pPr>
        <w:pStyle w:val="Heading4"/>
      </w:pPr>
      <w:r>
        <w:t>We have substantial requirements for power and fuel for our manufacturing facilities and any disruption in the supply or increase in tariff may adversely affect our business, results of operations, and financial condition.</w:t>
      </w:r>
    </w:p>
    <w:p>
      <w:pPr>
        <w:pStyle w:val="BodyText"/>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Power and fuel cost (₹ in million)</w:t>
            </w:r>
          </w:p>
        </w:tc>
        <w:tc>
          <w:tcPr>
            <w:tcW w:type="dxa" w:w="1728"/>
          </w:tcPr>
          <w:p>
            <w:r>
              <w:t>56.37</w:t>
            </w:r>
          </w:p>
        </w:tc>
        <w:tc>
          <w:tcPr>
            <w:tcW w:type="dxa" w:w="1728"/>
          </w:tcPr>
          <w:p>
            <w:r>
              <w:t>221.78</w:t>
            </w:r>
          </w:p>
        </w:tc>
        <w:tc>
          <w:tcPr>
            <w:tcW w:type="dxa" w:w="1728"/>
          </w:tcPr>
          <w:p>
            <w:r>
              <w:t>197.53</w:t>
            </w:r>
          </w:p>
        </w:tc>
        <w:tc>
          <w:tcPr>
            <w:tcW w:type="dxa" w:w="1728"/>
          </w:tcPr>
          <w:p>
            <w:r>
              <w:t>156.38</w:t>
            </w:r>
          </w:p>
        </w:tc>
      </w:tr>
      <w:tr>
        <w:tc>
          <w:tcPr>
            <w:tcW w:type="dxa" w:w="1728"/>
          </w:tcPr>
          <w:p>
            <w:r>
              <w:t>Percentage</w:t>
              <w:tab/>
              <w:t>of</w:t>
              <w:tab/>
              <w:t>total expenses (%)</w:t>
            </w:r>
          </w:p>
        </w:tc>
        <w:tc>
          <w:tcPr>
            <w:tcW w:type="dxa" w:w="1728"/>
          </w:tcPr>
          <w:p>
            <w:r>
              <w:t>1.07%</w:t>
            </w:r>
          </w:p>
        </w:tc>
        <w:tc>
          <w:tcPr>
            <w:tcW w:type="dxa" w:w="1728"/>
          </w:tcPr>
          <w:p>
            <w:r>
              <w:t>1.20%</w:t>
            </w:r>
          </w:p>
        </w:tc>
        <w:tc>
          <w:tcPr>
            <w:tcW w:type="dxa" w:w="1728"/>
          </w:tcPr>
          <w:p>
            <w:r>
              <w:t>1.47%</w:t>
            </w:r>
          </w:p>
        </w:tc>
        <w:tc>
          <w:tcPr>
            <w:tcW w:type="dxa" w:w="1728"/>
          </w:tcPr>
          <w:p>
            <w:r>
              <w:t>1.53%</w:t>
            </w:r>
          </w:p>
        </w:tc>
      </w:tr>
    </w:tbl>
    <w:p>
      <w:pPr>
        <w:pStyle w:val="BodyText"/>
      </w:pPr>
    </w:p>
    <w:p>
      <w:pPr>
        <w:pStyle w:val="BodyText"/>
      </w:pPr>
    </w:p>
    <w:p>
      <w:pPr>
        <w:pStyle w:val="BodyText"/>
      </w:pPr>
      <w:r>
        <w:t>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Text"/>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4"/>
      </w:pPr>
      <w:r>
        <w:t>We are subject to counterparty credit risk and any delay in receiving payments or non-receipt of payments from our customers could have an adverse effect on our business, results of operations, financial condition and cash flows.</w:t>
      </w:r>
    </w:p>
    <w:p>
      <w:pPr>
        <w:pStyle w:val="BodyText"/>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r>
        <w:t>(₹ in million, except percentages)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5184"/>
            <w:gridSpan w:val="3"/>
          </w:tcPr>
          <w:p>
            <w:r>
              <w:t>Financial year ended</w:t>
            </w:r>
          </w:p>
        </w:tc>
      </w:tr>
      <w:tr>
        <w:tc>
          <w:tcPr>
            <w:tcW w:type="dxa" w:w="1728"/>
          </w:tcPr>
          <w:p>
            <w:r>
              <w:t>Particulars</w:t>
            </w:r>
          </w:p>
        </w:tc>
        <w:tc>
          <w:tcPr>
            <w:tcW w:type="dxa" w:w="1728"/>
          </w:tcPr>
          <w:p>
            <w:r>
              <w:t>Three-month period ended June 30, 2025</w:t>
            </w:r>
          </w:p>
        </w:tc>
        <w:tc>
          <w:tcPr>
            <w:tcW w:type="dxa" w:w="1728"/>
          </w:tcPr>
          <w:p>
            <w:r>
              <w:t>March 31, 2025</w:t>
            </w:r>
          </w:p>
        </w:tc>
        <w:tc>
          <w:tcPr>
            <w:tcW w:type="dxa" w:w="1728"/>
          </w:tcPr>
          <w:p>
            <w:r>
              <w:t>March 31, 2024</w:t>
            </w:r>
          </w:p>
        </w:tc>
        <w:tc>
          <w:tcPr>
            <w:tcW w:type="dxa" w:w="1728"/>
          </w:tcPr>
          <w:p>
            <w:r>
              <w:t>March 31, 2023</w:t>
            </w:r>
          </w:p>
        </w:tc>
      </w:tr>
      <w:tr>
        <w:tc>
          <w:tcPr>
            <w:tcW w:type="dxa" w:w="1728"/>
          </w:tcPr>
          <w:p>
            <w:r>
              <w:t>Bad debts written off (A)</w:t>
            </w:r>
          </w:p>
        </w:tc>
        <w:tc>
          <w:tcPr>
            <w:tcW w:type="dxa" w:w="1728"/>
          </w:tcPr>
          <w:p>
            <w:r>
              <w:t>0.00</w:t>
            </w:r>
          </w:p>
        </w:tc>
        <w:tc>
          <w:tcPr>
            <w:tcW w:type="dxa" w:w="1728"/>
          </w:tcPr>
          <w:p>
            <w:r>
              <w:t>0.00</w:t>
            </w:r>
          </w:p>
        </w:tc>
        <w:tc>
          <w:tcPr>
            <w:tcW w:type="dxa" w:w="1728"/>
          </w:tcPr>
          <w:p>
            <w:r>
              <w:t>0.24</w:t>
            </w:r>
          </w:p>
        </w:tc>
        <w:tc>
          <w:tcPr>
            <w:tcW w:type="dxa" w:w="1728"/>
          </w:tcPr>
          <w:p>
            <w:r>
              <w:t>0.00</w:t>
            </w:r>
          </w:p>
        </w:tc>
      </w:tr>
      <w:tr>
        <w:tc>
          <w:tcPr>
            <w:tcW w:type="dxa" w:w="1728"/>
          </w:tcPr>
          <w:p>
            <w:r>
              <w:t>Bad debts written off as a percentage of revenue from operations (B = A/E) (%)</w:t>
            </w:r>
          </w:p>
        </w:tc>
        <w:tc>
          <w:tcPr>
            <w:tcW w:type="dxa" w:w="1728"/>
          </w:tcPr>
          <w:p>
            <w:r>
              <w:t>0.00%</w:t>
            </w:r>
          </w:p>
        </w:tc>
        <w:tc>
          <w:tcPr>
            <w:tcW w:type="dxa" w:w="1728"/>
          </w:tcPr>
          <w:p>
            <w:r>
              <w:t>0.00%</w:t>
            </w:r>
          </w:p>
        </w:tc>
        <w:tc>
          <w:tcPr>
            <w:tcW w:type="dxa" w:w="1728"/>
          </w:tcPr>
          <w:p>
            <w:r>
              <w:t>0.00%</w:t>
            </w:r>
          </w:p>
        </w:tc>
        <w:tc>
          <w:tcPr>
            <w:tcW w:type="dxa" w:w="1728"/>
          </w:tcPr>
          <w:p>
            <w:r>
              <w:t>0.00%</w:t>
            </w:r>
          </w:p>
        </w:tc>
      </w:tr>
      <w:tr>
        <w:tc>
          <w:tcPr>
            <w:tcW w:type="dxa" w:w="1728"/>
          </w:tcPr>
          <w:p>
            <w:r>
              <w:t>Provision for bad debt (C)</w:t>
            </w:r>
          </w:p>
        </w:tc>
        <w:tc>
          <w:tcPr>
            <w:tcW w:type="dxa" w:w="1728"/>
          </w:tcPr>
          <w:p>
            <w:r>
              <w:t>0.00</w:t>
            </w:r>
          </w:p>
        </w:tc>
        <w:tc>
          <w:tcPr>
            <w:tcW w:type="dxa" w:w="1728"/>
          </w:tcPr>
          <w:p>
            <w:r>
              <w:t>0.65</w:t>
            </w:r>
          </w:p>
        </w:tc>
        <w:tc>
          <w:tcPr>
            <w:tcW w:type="dxa" w:w="1728"/>
          </w:tcPr>
          <w:p>
            <w:r>
              <w:t>13.59</w:t>
            </w:r>
          </w:p>
        </w:tc>
        <w:tc>
          <w:tcPr>
            <w:tcW w:type="dxa" w:w="1728"/>
          </w:tcPr>
          <w:p>
            <w:r>
              <w:t>17.81</w:t>
            </w:r>
          </w:p>
        </w:tc>
      </w:tr>
      <w:tr>
        <w:tc>
          <w:tcPr>
            <w:tcW w:type="dxa" w:w="1728"/>
          </w:tcPr>
          <w:p>
            <w:r>
              <w:t>Provision for bad debt as a percentage of revenue from operations (D = C/E) (%)</w:t>
            </w:r>
          </w:p>
        </w:tc>
        <w:tc>
          <w:tcPr>
            <w:tcW w:type="dxa" w:w="1728"/>
          </w:tcPr>
          <w:p>
            <w:r>
              <w:t>0.00%</w:t>
            </w:r>
          </w:p>
        </w:tc>
        <w:tc>
          <w:tcPr>
            <w:tcW w:type="dxa" w:w="1728"/>
          </w:tcPr>
          <w:p>
            <w:r>
              <w:t>0.00%</w:t>
            </w:r>
          </w:p>
        </w:tc>
        <w:tc>
          <w:tcPr>
            <w:tcW w:type="dxa" w:w="1728"/>
          </w:tcPr>
          <w:p>
            <w:r>
              <w:t>0.10%</w:t>
            </w:r>
          </w:p>
        </w:tc>
        <w:tc>
          <w:tcPr>
            <w:tcW w:type="dxa" w:w="1728"/>
          </w:tcPr>
          <w:p>
            <w:r>
              <w:t>0.17%</w:t>
            </w:r>
          </w:p>
        </w:tc>
      </w:tr>
      <w:tr>
        <w:tc>
          <w:tcPr>
            <w:tcW w:type="dxa" w:w="1728"/>
          </w:tcPr>
          <w:p>
            <w:r>
              <w:t>Revenue from operations (E)</w:t>
            </w:r>
          </w:p>
        </w:tc>
        <w:tc>
          <w:tcPr>
            <w:tcW w:type="dxa" w:w="1728"/>
          </w:tcPr>
          <w:p>
            <w:r>
              <w:t>5,587.12</w:t>
            </w:r>
          </w:p>
        </w:tc>
        <w:tc>
          <w:tcPr>
            <w:tcW w:type="dxa" w:w="1728"/>
          </w:tcPr>
          <w:p>
            <w:r>
              <w:t>19,282.93</w:t>
            </w:r>
          </w:p>
        </w:tc>
        <w:tc>
          <w:tcPr>
            <w:tcW w:type="dxa" w:w="1728"/>
          </w:tcPr>
          <w:p>
            <w:r>
              <w:t>13,828.15</w:t>
            </w:r>
          </w:p>
        </w:tc>
        <w:tc>
          <w:tcPr>
            <w:tcW w:type="dxa" w:w="1728"/>
          </w:tcPr>
          <w:p>
            <w:r>
              <w:t>10,494.60</w:t>
            </w:r>
          </w:p>
        </w:tc>
      </w:tr>
    </w:tbl>
    <w:p/>
    <w:p>
      <w:pPr>
        <w:pStyle w:val="BodyText"/>
      </w:pPr>
    </w:p>
    <w:p>
      <w:pPr>
        <w:pStyle w:val="BodyText"/>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Text"/>
      </w:pPr>
    </w:p>
    <w:p>
      <w:pPr>
        <w:pStyle w:val="Heading4"/>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Text"/>
      </w:pPr>
      <w:r>
        <w:t>As of June 30, 2025, we have a dedicated team of 20 employees focused on new product/ process development and maintenance. During the three-month period ended June 30, 2025, and Fiscals 2025, 2024, and 2023, we have incurred</w:t>
      </w:r>
    </w:p>
    <w:p>
      <w:pPr>
        <w:pStyle w:val="BodyText"/>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4"/>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Text"/>
      </w:pPr>
      <w:r>
        <w:t>The cost and availability of capital depends on our credit ratings. Set out below are our credit ratings received from Northgate Bank Limited, in the three-month period ended June 30, 2025, Fiscals 2025, 2024 and 2023:</w:t>
      </w: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Rating</w:t>
            </w:r>
          </w:p>
        </w:tc>
        <w:tc>
          <w:tcPr>
            <w:tcW w:type="dxa" w:w="2160"/>
          </w:tcPr>
          <w:p>
            <w:r>
              <w:t>Outlook</w:t>
            </w:r>
          </w:p>
        </w:tc>
        <w:tc>
          <w:tcPr>
            <w:tcW w:type="dxa" w:w="2160"/>
          </w:tcPr>
          <w:p>
            <w:r>
              <w:t>Facilities/ Instrument</w:t>
            </w:r>
          </w:p>
        </w:tc>
      </w:tr>
      <w:tr>
        <w:tc>
          <w:tcPr>
            <w:tcW w:type="dxa" w:w="2160"/>
          </w:tcPr>
          <w:p>
            <w:r>
              <w:t>December 10, 2024</w:t>
            </w:r>
          </w:p>
        </w:tc>
        <w:tc>
          <w:tcPr>
            <w:tcW w:type="dxa" w:w="2160"/>
          </w:tcPr>
          <w:p>
            <w:r>
              <w:t>‘CARE A-’</w:t>
            </w:r>
          </w:p>
        </w:tc>
        <w:tc>
          <w:tcPr>
            <w:tcW w:type="dxa" w:w="2160"/>
          </w:tcPr>
          <w:p>
            <w:r>
              <w:t>Stable</w:t>
            </w:r>
          </w:p>
        </w:tc>
        <w:tc>
          <w:tcPr>
            <w:tcW w:type="dxa" w:w="2160"/>
          </w:tcPr>
          <w:p>
            <w:r>
              <w:t>Long Term Bank Facilities</w:t>
            </w:r>
          </w:p>
        </w:tc>
      </w:tr>
      <w:tr>
        <w:tc>
          <w:tcPr>
            <w:tcW w:type="dxa" w:w="2160"/>
          </w:tcPr>
          <w:p>
            <w:r>
              <w:t>December 10, 2024</w:t>
            </w:r>
          </w:p>
        </w:tc>
        <w:tc>
          <w:tcPr>
            <w:tcW w:type="dxa" w:w="2160"/>
          </w:tcPr>
          <w:p>
            <w:r>
              <w:t>‘CARE A-’</w:t>
            </w:r>
          </w:p>
        </w:tc>
        <w:tc>
          <w:tcPr>
            <w:tcW w:type="dxa" w:w="2160"/>
          </w:tcPr>
          <w:p>
            <w:r>
              <w:t>Stable/ CARE A2</w:t>
            </w:r>
          </w:p>
        </w:tc>
        <w:tc>
          <w:tcPr>
            <w:tcW w:type="dxa" w:w="2160"/>
          </w:tcPr>
          <w:p>
            <w:r>
              <w:t>Long Term / Short Term Bank Facilities</w:t>
            </w:r>
          </w:p>
        </w:tc>
      </w:tr>
      <w:tr>
        <w:tc>
          <w:tcPr>
            <w:tcW w:type="dxa" w:w="2160"/>
          </w:tcPr>
          <w:p>
            <w:r>
              <w:t>December 10, 2024</w:t>
            </w:r>
          </w:p>
        </w:tc>
        <w:tc>
          <w:tcPr>
            <w:tcW w:type="dxa" w:w="2160"/>
          </w:tcPr>
          <w:p>
            <w:r>
              <w:t>‘CARE A2’</w:t>
            </w:r>
          </w:p>
        </w:tc>
        <w:tc>
          <w:tcPr>
            <w:tcW w:type="dxa" w:w="2160"/>
          </w:tcPr>
          <w:p>
            <w:r>
              <w:t>N.A.</w:t>
            </w:r>
          </w:p>
        </w:tc>
        <w:tc>
          <w:tcPr>
            <w:tcW w:type="dxa" w:w="2160"/>
          </w:tcPr>
          <w:p>
            <w:r>
              <w:t>Short Term Bank Facilities</w:t>
            </w:r>
          </w:p>
        </w:tc>
      </w:tr>
      <w:tr>
        <w:tc>
          <w:tcPr>
            <w:tcW w:type="dxa" w:w="2160"/>
          </w:tcPr>
          <w:p>
            <w:r>
              <w:t>December 18, 2023</w:t>
            </w:r>
          </w:p>
        </w:tc>
        <w:tc>
          <w:tcPr>
            <w:tcW w:type="dxa" w:w="2160"/>
          </w:tcPr>
          <w:p>
            <w:r>
              <w:t>‘CARE A-’</w:t>
            </w:r>
          </w:p>
        </w:tc>
        <w:tc>
          <w:tcPr>
            <w:tcW w:type="dxa" w:w="2160"/>
          </w:tcPr>
          <w:p>
            <w:r>
              <w:t>Stable</w:t>
            </w:r>
          </w:p>
        </w:tc>
        <w:tc>
          <w:tcPr>
            <w:tcW w:type="dxa" w:w="2160"/>
          </w:tcPr>
          <w:p>
            <w:r>
              <w:t>Long Term Bank Facilities</w:t>
            </w:r>
          </w:p>
        </w:tc>
      </w:tr>
      <w:tr>
        <w:tc>
          <w:tcPr>
            <w:tcW w:type="dxa" w:w="2160"/>
          </w:tcPr>
          <w:p>
            <w:r>
              <w:t>December 18, 2023</w:t>
            </w:r>
          </w:p>
        </w:tc>
        <w:tc>
          <w:tcPr>
            <w:tcW w:type="dxa" w:w="2160"/>
          </w:tcPr>
          <w:p>
            <w:r>
              <w:t>‘CARE A-’</w:t>
            </w:r>
          </w:p>
        </w:tc>
        <w:tc>
          <w:tcPr>
            <w:tcW w:type="dxa" w:w="2160"/>
          </w:tcPr>
          <w:p>
            <w:r>
              <w:t>Stable/ CARE A2</w:t>
            </w:r>
          </w:p>
        </w:tc>
        <w:tc>
          <w:tcPr>
            <w:tcW w:type="dxa" w:w="2160"/>
          </w:tcPr>
          <w:p>
            <w:r>
              <w:t>Long Term / Short Term Bank Facilities</w:t>
            </w:r>
          </w:p>
        </w:tc>
      </w:tr>
      <w:tr>
        <w:tc>
          <w:tcPr>
            <w:tcW w:type="dxa" w:w="2160"/>
          </w:tcPr>
          <w:p>
            <w:r>
              <w:t>December 18, 2023</w:t>
            </w:r>
          </w:p>
        </w:tc>
        <w:tc>
          <w:tcPr>
            <w:tcW w:type="dxa" w:w="2160"/>
          </w:tcPr>
          <w:p>
            <w:r>
              <w:t>‘CARE A2’</w:t>
            </w:r>
          </w:p>
        </w:tc>
        <w:tc>
          <w:tcPr>
            <w:tcW w:type="dxa" w:w="2160"/>
          </w:tcPr>
          <w:p>
            <w:r>
              <w:t>N.A.</w:t>
            </w:r>
          </w:p>
        </w:tc>
        <w:tc>
          <w:tcPr>
            <w:tcW w:type="dxa" w:w="2160"/>
          </w:tcPr>
          <w:p>
            <w:r>
              <w:t>Short Term Bank Facilities</w:t>
            </w:r>
          </w:p>
        </w:tc>
      </w:tr>
      <w:tr>
        <w:tc>
          <w:tcPr>
            <w:tcW w:type="dxa" w:w="2160"/>
          </w:tcPr>
          <w:p>
            <w:r>
              <w:t>December 18, 2023</w:t>
            </w:r>
          </w:p>
        </w:tc>
        <w:tc>
          <w:tcPr>
            <w:tcW w:type="dxa" w:w="2160"/>
          </w:tcPr>
          <w:p>
            <w:r>
              <w:t>‘CARE A2’</w:t>
            </w:r>
          </w:p>
        </w:tc>
        <w:tc>
          <w:tcPr>
            <w:tcW w:type="dxa" w:w="2160"/>
          </w:tcPr>
          <w:p>
            <w:r>
              <w:t>N.A.</w:t>
            </w:r>
          </w:p>
        </w:tc>
        <w:tc>
          <w:tcPr>
            <w:tcW w:type="dxa" w:w="2160"/>
          </w:tcPr>
          <w:p>
            <w:r>
              <w:t>Short Term Bank Facilities</w:t>
            </w:r>
          </w:p>
        </w:tc>
      </w:tr>
      <w:tr>
        <w:tc>
          <w:tcPr>
            <w:tcW w:type="dxa" w:w="2160"/>
          </w:tcPr>
          <w:p>
            <w:r>
              <w:t>November 30, 2022</w:t>
            </w:r>
          </w:p>
        </w:tc>
        <w:tc>
          <w:tcPr>
            <w:tcW w:type="dxa" w:w="2160"/>
          </w:tcPr>
          <w:p>
            <w:r>
              <w:t>‘CARE A-’</w:t>
            </w:r>
          </w:p>
        </w:tc>
        <w:tc>
          <w:tcPr>
            <w:tcW w:type="dxa" w:w="2160"/>
          </w:tcPr>
          <w:p>
            <w:r>
              <w:t>Positive</w:t>
            </w:r>
          </w:p>
        </w:tc>
        <w:tc>
          <w:tcPr>
            <w:tcW w:type="dxa" w:w="2160"/>
          </w:tcPr>
          <w:p>
            <w:r>
              <w:t>Long Term Bank Facilities</w:t>
            </w:r>
          </w:p>
        </w:tc>
      </w:tr>
      <w:tr>
        <w:tc>
          <w:tcPr>
            <w:tcW w:type="dxa" w:w="2160"/>
          </w:tcPr>
          <w:p>
            <w:r>
              <w:t>November 30, 2022</w:t>
            </w:r>
          </w:p>
        </w:tc>
        <w:tc>
          <w:tcPr>
            <w:tcW w:type="dxa" w:w="2160"/>
          </w:tcPr>
          <w:p>
            <w:r>
              <w:t>‘CARE A-’</w:t>
            </w:r>
          </w:p>
        </w:tc>
        <w:tc>
          <w:tcPr>
            <w:tcW w:type="dxa" w:w="2160"/>
          </w:tcPr>
          <w:p>
            <w:r>
              <w:t>Positive / CARE A2</w:t>
            </w:r>
          </w:p>
        </w:tc>
        <w:tc>
          <w:tcPr>
            <w:tcW w:type="dxa" w:w="2160"/>
          </w:tcPr>
          <w:p>
            <w:r>
              <w:t>Long Term / Short Term Bank Facilities</w:t>
            </w:r>
          </w:p>
        </w:tc>
      </w:tr>
      <w:tr>
        <w:tc>
          <w:tcPr>
            <w:tcW w:type="dxa" w:w="2160"/>
          </w:tcPr>
          <w:p>
            <w:r>
              <w:t>November 30, 2022</w:t>
            </w:r>
          </w:p>
        </w:tc>
        <w:tc>
          <w:tcPr>
            <w:tcW w:type="dxa" w:w="2160"/>
          </w:tcPr>
          <w:p>
            <w:r>
              <w:t>‘CARE A-’</w:t>
            </w:r>
          </w:p>
        </w:tc>
        <w:tc>
          <w:tcPr>
            <w:tcW w:type="dxa" w:w="2160"/>
          </w:tcPr>
          <w:p>
            <w:r>
              <w:t>Positive / CARE A2</w:t>
            </w:r>
          </w:p>
        </w:tc>
        <w:tc>
          <w:tcPr>
            <w:tcW w:type="dxa" w:w="2160"/>
          </w:tcPr>
          <w:p>
            <w:r>
              <w:t>Long Term / Short Term Bank Facilities</w:t>
            </w:r>
          </w:p>
        </w:tc>
      </w:tr>
      <w:tr>
        <w:tc>
          <w:tcPr>
            <w:tcW w:type="dxa" w:w="2160"/>
          </w:tcPr>
          <w:p>
            <w:r>
              <w:t>November 30, 2022</w:t>
            </w:r>
          </w:p>
        </w:tc>
        <w:tc>
          <w:tcPr>
            <w:tcW w:type="dxa" w:w="2160"/>
          </w:tcPr>
          <w:p>
            <w:r>
              <w:t>‘CARE A2’</w:t>
            </w:r>
          </w:p>
        </w:tc>
        <w:tc>
          <w:tcPr>
            <w:tcW w:type="dxa" w:w="2160"/>
          </w:tcPr>
          <w:p>
            <w:r>
              <w:t>N.A.</w:t>
            </w:r>
          </w:p>
        </w:tc>
        <w:tc>
          <w:tcPr>
            <w:tcW w:type="dxa" w:w="2160"/>
          </w:tcPr>
          <w:p>
            <w:r>
              <w:t>Short Term Bank Facilities</w:t>
            </w:r>
          </w:p>
        </w:tc>
      </w:tr>
    </w:tbl>
    <w:p>
      <w:pPr>
        <w:pStyle w:val="BodyText"/>
      </w:pPr>
    </w:p>
    <w:p>
      <w:pPr>
        <w:pStyle w:val="BodyText"/>
      </w:pPr>
    </w:p>
    <w:p>
      <w:pPr>
        <w:pStyle w:val="BodyText"/>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Text"/>
      </w:pPr>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4"/>
      </w:pPr>
      <w:r>
        <w:t>Exchange rate fluctuations may adversely affect our business, financial conditions, cash flows and results of operations.</w:t>
      </w:r>
    </w:p>
    <w:p>
      <w:pPr>
        <w:pStyle w:val="BodyText"/>
      </w:pPr>
      <w: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BodyText"/>
      </w:pPr>
    </w:p>
    <w:p>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Text"/>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4"/>
      </w:pPr>
      <w:r>
        <w:t>Fraud, employee misconduct or similar incidents may adversely affect our results of operations and cash flows.</w:t>
      </w:r>
    </w:p>
    <w:p>
      <w:pPr>
        <w:pStyle w:val="BodyText"/>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4"/>
      </w:pPr>
      <w:r>
        <w:t>Some of our manufacturing facilities and our Corporate Office are leased by us. In the event we lose or are unable to renew such leasehold rights, our business, financial condition and results of operations may be adversely affected.</w:t>
      </w:r>
    </w:p>
    <w:p>
      <w:pPr>
        <w:pStyle w:val="BodyText"/>
      </w:pPr>
      <w: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p>
    <w:p>
      <w:pPr>
        <w:pStyle w:val="BodyText"/>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4"/>
      </w:pPr>
      <w:r>
        <w:t>We have not made any alternate arrangements for meeting our capital requirements for the Objects of the Offer. Any shortfall in raising / meeting the same could adversely affect our growth plans, operations and financial performance.</w:t>
      </w:r>
    </w:p>
    <w:p>
      <w:pPr>
        <w:pStyle w:val="BodyText"/>
      </w:pPr>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Text"/>
      </w:pPr>
    </w:p>
    <w:p>
      <w:pPr>
        <w:pStyle w:val="BodyText"/>
      </w:pPr>
      <w:r>
        <w:t>to raise money from this Offer or any shortfall in the Offer proceeds may delay the implementation schedule and could adversely affect our growth plans. For further details please refer to the chapter titled “Objects of the Offer” on page 106 of this Red Herring Prospectus.</w:t>
      </w:r>
    </w:p>
    <w:p>
      <w:pPr>
        <w:pStyle w:val="Heading4"/>
      </w:pPr>
      <w:r>
        <w:t>A portion of the Net Proceeds may be utilised for repayment or prepayment of certain loan facilities availed by our Company.</w:t>
      </w:r>
    </w:p>
    <w:p>
      <w:pPr>
        <w:pStyle w:val="BodyText"/>
      </w:pPr>
      <w:r>
        <w:t>We propose to repay or pre-pay certain loan facilities availed by our Company from Bank from the Net Proceeds. For details, see “Objects of the Offer” on page 106.</w:t>
      </w:r>
    </w:p>
    <w:p>
      <w:pPr>
        <w:pStyle w:val="BodyText"/>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Text"/>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Paragraph"/>
      </w:pPr>
      <w:r>
        <w:t>the availability, terms and costs of financing;</w:t>
      </w:r>
    </w:p>
    <w:p>
      <w:pPr>
        <w:pStyle w:val="ListParagraph"/>
      </w:pPr>
      <w:r>
        <w:t>the grant of regulatory approvals; and</w:t>
      </w:r>
    </w:p>
    <w:p>
      <w:pPr>
        <w:pStyle w:val="ListParagraph"/>
      </w:pPr>
      <w:r>
        <w:t>general economic conditions in such markets.</w:t>
      </w:r>
    </w:p>
    <w:p>
      <w:pPr>
        <w:pStyle w:val="BodyText"/>
      </w:pP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4"/>
      </w:pPr>
      <w:r>
        <w:t>Our failure to keep our technical knowledge confidential could erode our competitive advantage.</w:t>
      </w:r>
    </w:p>
    <w:p>
      <w:pPr>
        <w:pStyle w:val="BodyText"/>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BodyText"/>
      </w:pPr>
    </w:p>
    <w:p>
      <w:pPr>
        <w:pStyle w:val="Heading4"/>
      </w:pPr>
      <w:r>
        <w:t>Our Company has availed unsecured loans from financial institutions which may be recalled on demand.</w:t>
      </w:r>
    </w:p>
    <w:p>
      <w:pPr>
        <w:pStyle w:val="BodyText"/>
      </w:pPr>
      <w: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4"/>
      </w:pPr>
      <w:r>
        <w:t>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Text"/>
      </w:pPr>
      <w:r>
        <w:t>We are led by our Individual Promoters Emily Davis, Michael Chen, Priya Sharma, Jane Smith and Peter Parker. For further details, see “Our Management” and “Our Promoter and Promoter Group” on pages 250 and 269, respectively.</w:t>
      </w:r>
    </w:p>
    <w:p>
      <w:pPr>
        <w:pStyle w:val="BodyText"/>
      </w:pPr>
      <w:r>
        <w:t>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Text"/>
      </w:pP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Text"/>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Text"/>
      </w:pPr>
      <w:r>
        <w:t>The following table sets forth the attrition rate for KMPs, SMs and other employees, respectively, in the period/ Fiscals indicated:</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Cumulative attrition rate of KMPs and SMs</w:t>
            </w:r>
          </w:p>
        </w:tc>
        <w:tc>
          <w:tcPr>
            <w:tcW w:type="dxa" w:w="1728"/>
          </w:tcPr>
          <w:p>
            <w:r>
              <w:t>0.00%</w:t>
            </w:r>
          </w:p>
        </w:tc>
        <w:tc>
          <w:tcPr>
            <w:tcW w:type="dxa" w:w="1728"/>
          </w:tcPr>
          <w:p>
            <w:r>
              <w:t>0.00%</w:t>
            </w:r>
          </w:p>
        </w:tc>
        <w:tc>
          <w:tcPr>
            <w:tcW w:type="dxa" w:w="1728"/>
          </w:tcPr>
          <w:p>
            <w:r>
              <w:t>9.09%</w:t>
            </w:r>
          </w:p>
        </w:tc>
        <w:tc>
          <w:tcPr>
            <w:tcW w:type="dxa" w:w="1728"/>
          </w:tcPr>
          <w:p>
            <w:r>
              <w:t>0.00%</w:t>
            </w:r>
          </w:p>
        </w:tc>
      </w:tr>
    </w:tbl>
    <w:p>
      <w:pPr>
        <w:pStyle w:val="BodyText"/>
      </w:pP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June 30, 2025</w:t>
            </w:r>
          </w:p>
        </w:tc>
        <w:tc>
          <w:tcPr>
            <w:tcW w:type="dxa" w:w="1728"/>
          </w:tcPr>
          <w:p>
            <w:r>
              <w:t>Fiscal 2025</w:t>
            </w:r>
          </w:p>
        </w:tc>
        <w:tc>
          <w:tcPr>
            <w:tcW w:type="dxa" w:w="1728"/>
          </w:tcPr>
          <w:p>
            <w:r>
              <w:t>Fiscal 2024</w:t>
            </w:r>
          </w:p>
        </w:tc>
        <w:tc>
          <w:tcPr>
            <w:tcW w:type="dxa" w:w="1728"/>
          </w:tcPr>
          <w:p>
            <w:r>
              <w:t>Fiscal 2023</w:t>
            </w:r>
          </w:p>
        </w:tc>
      </w:tr>
      <w:tr>
        <w:tc>
          <w:tcPr>
            <w:tcW w:type="dxa" w:w="1728"/>
          </w:tcPr>
          <w:p>
            <w:r>
              <w:t>Employee attrition rate (excluding KMPs/ SMs)</w:t>
            </w:r>
          </w:p>
        </w:tc>
        <w:tc>
          <w:tcPr>
            <w:tcW w:type="dxa" w:w="1728"/>
          </w:tcPr>
          <w:p>
            <w:r>
              <w:t>4.00%</w:t>
            </w:r>
          </w:p>
        </w:tc>
        <w:tc>
          <w:tcPr>
            <w:tcW w:type="dxa" w:w="1728"/>
          </w:tcPr>
          <w:p>
            <w:r>
              <w:t>15.00%</w:t>
            </w:r>
          </w:p>
        </w:tc>
        <w:tc>
          <w:tcPr>
            <w:tcW w:type="dxa" w:w="1728"/>
          </w:tcPr>
          <w:p>
            <w:r>
              <w:t>12.10%</w:t>
            </w:r>
          </w:p>
        </w:tc>
        <w:tc>
          <w:tcPr>
            <w:tcW w:type="dxa" w:w="1728"/>
          </w:tcPr>
          <w:p>
            <w:r>
              <w:t>18.00%</w:t>
            </w:r>
          </w:p>
        </w:tc>
      </w:tr>
    </w:tbl>
    <w:p>
      <w:pPr>
        <w:pStyle w:val="BodyText"/>
      </w:pPr>
    </w:p>
    <w:p>
      <w:pPr>
        <w:pStyle w:val="BodyText"/>
      </w:pPr>
    </w:p>
    <w:p>
      <w:r>
        <w:t>For further details regarding the employees, see “Our Business – Human Resources” on page 235.</w:t>
      </w:r>
    </w:p>
    <w:p>
      <w:pPr>
        <w:pStyle w:val="BodyText"/>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Text"/>
      </w:pPr>
    </w:p>
    <w:p>
      <w:pPr>
        <w:pStyle w:val="BodyText"/>
      </w:pPr>
      <w:r>
        <w:t>or qualified replacements, our results of operations may be adversely affected. For details of changes in our key management personnel, please see “Our Management” on page 250.</w:t>
      </w:r>
    </w:p>
    <w:p>
      <w:pPr>
        <w:pStyle w:val="BodyText"/>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4"/>
      </w:pPr>
      <w:r>
        <w:t>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Text"/>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Laura Martinez and Rohit Nair,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Text"/>
      </w:pPr>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Text"/>
      </w:pPr>
      <w:r>
        <w:t>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Heading4"/>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Text"/>
      </w:pPr>
      <w:r>
        <w:t>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government incentive schemes:</w:t>
      </w:r>
    </w:p>
    <w:p>
      <w:pPr>
        <w:pStyle w:val="BodyText"/>
      </w:pP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160"/>
            <w:gridSpan w:val="2"/>
          </w:tcPr>
          <w:p>
            <w:r>
              <w:t>Three-month period ended June 30, 2025</w:t>
            </w:r>
          </w:p>
        </w:tc>
        <w:tc>
          <w:tcPr>
            <w:tcW w:type="dxa" w:w="2160"/>
            <w:gridSpan w:val="2"/>
          </w:tcPr>
          <w:p>
            <w:r>
              <w:t>Fiscal 2025</w:t>
            </w:r>
          </w:p>
        </w:tc>
        <w:tc>
          <w:tcPr>
            <w:tcW w:type="dxa" w:w="2160"/>
            <w:gridSpan w:val="2"/>
          </w:tcPr>
          <w:p>
            <w:r>
              <w:t>Fiscal 2024</w:t>
            </w:r>
          </w:p>
        </w:tc>
        <w:tc>
          <w:tcPr>
            <w:tcW w:type="dxa" w:w="2160"/>
            <w:gridSpan w:val="2"/>
          </w:tcPr>
          <w:p>
            <w:r>
              <w:t>Fiscal 2023</w:t>
            </w:r>
          </w:p>
        </w:tc>
      </w:tr>
      <w:tr>
        <w:tc>
          <w:tcPr>
            <w:tcW w:type="dxa" w:w="1080"/>
          </w:tcPr>
          <w:p>
            <w:r>
              <w:t>Governmen t Incentive schemes (₹ in million)</w:t>
            </w:r>
          </w:p>
        </w:tc>
        <w:tc>
          <w:tcPr>
            <w:tcW w:type="dxa" w:w="1080"/>
          </w:tcPr>
          <w:p>
            <w:r>
              <w:t>Percentage of Revenue from Operations</w:t>
              <w:br/>
              <w:t>(%)</w:t>
            </w:r>
          </w:p>
        </w:tc>
        <w:tc>
          <w:tcPr>
            <w:tcW w:type="dxa" w:w="1080"/>
          </w:tcPr>
          <w:p>
            <w:r>
              <w:t>Government Incentive schemes (₹ in million)</w:t>
            </w:r>
          </w:p>
        </w:tc>
        <w:tc>
          <w:tcPr>
            <w:tcW w:type="dxa" w:w="1080"/>
          </w:tcPr>
          <w:p>
            <w:r>
              <w:t>Percentage of Revenue from Operations (%)</w:t>
            </w:r>
          </w:p>
        </w:tc>
        <w:tc>
          <w:tcPr>
            <w:tcW w:type="dxa" w:w="1080"/>
          </w:tcPr>
          <w:p>
            <w:r>
              <w:t>Government Incentive schemes (₹ in million)</w:t>
            </w:r>
          </w:p>
        </w:tc>
        <w:tc>
          <w:tcPr>
            <w:tcW w:type="dxa" w:w="1080"/>
          </w:tcPr>
          <w:p>
            <w:r>
              <w:t>Percentage of Revenue from Operations (%)</w:t>
            </w:r>
          </w:p>
        </w:tc>
        <w:tc>
          <w:tcPr>
            <w:tcW w:type="dxa" w:w="1080"/>
          </w:tcPr>
          <w:p>
            <w:r>
              <w:t>Government Incentive schemes (₹ in million)</w:t>
            </w:r>
          </w:p>
        </w:tc>
        <w:tc>
          <w:tcPr>
            <w:tcW w:type="dxa" w:w="1080"/>
          </w:tcPr>
          <w:p>
            <w:r>
              <w:t>Percentage of Revenue from Operations (%)</w:t>
            </w:r>
          </w:p>
        </w:tc>
      </w:tr>
      <w:tr>
        <w:tc>
          <w:tcPr>
            <w:tcW w:type="dxa" w:w="1080"/>
          </w:tcPr>
          <w:p>
            <w:r>
              <w:t>2.67</w:t>
            </w:r>
          </w:p>
        </w:tc>
        <w:tc>
          <w:tcPr>
            <w:tcW w:type="dxa" w:w="1080"/>
          </w:tcPr>
          <w:p>
            <w:r>
              <w:t>0.05%</w:t>
            </w:r>
          </w:p>
        </w:tc>
        <w:tc>
          <w:tcPr>
            <w:tcW w:type="dxa" w:w="1080"/>
          </w:tcPr>
          <w:p>
            <w:r>
              <w:t>25.58</w:t>
            </w:r>
          </w:p>
        </w:tc>
        <w:tc>
          <w:tcPr>
            <w:tcW w:type="dxa" w:w="1080"/>
          </w:tcPr>
          <w:p>
            <w:r>
              <w:t>0.13%</w:t>
            </w:r>
          </w:p>
        </w:tc>
        <w:tc>
          <w:tcPr>
            <w:tcW w:type="dxa" w:w="1080"/>
          </w:tcPr>
          <w:p>
            <w:r>
              <w:t>0</w:t>
            </w:r>
          </w:p>
        </w:tc>
        <w:tc>
          <w:tcPr>
            <w:tcW w:type="dxa" w:w="1080"/>
          </w:tcPr>
          <w:p>
            <w:r>
              <w:t>0%</w:t>
            </w:r>
          </w:p>
        </w:tc>
        <w:tc>
          <w:tcPr>
            <w:tcW w:type="dxa" w:w="1080"/>
          </w:tcPr>
          <w:p>
            <w:r>
              <w:t>0.75</w:t>
            </w:r>
          </w:p>
        </w:tc>
        <w:tc>
          <w:tcPr>
            <w:tcW w:type="dxa" w:w="1080"/>
          </w:tcPr>
          <w:p>
            <w:r>
              <w:t>0.01%</w:t>
            </w:r>
          </w:p>
        </w:tc>
      </w:tr>
    </w:tbl>
    <w:p>
      <w:pPr>
        <w:pStyle w:val="BodyText"/>
      </w:pPr>
    </w:p>
    <w:p>
      <w:pPr>
        <w:pStyle w:val="BodyText"/>
      </w:pPr>
    </w:p>
    <w:p>
      <w:pPr>
        <w:pStyle w:val="BodyText"/>
      </w:pPr>
      <w:r>
        <w:t>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Text"/>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BodyText"/>
      </w:pPr>
    </w:p>
    <w:p>
      <w:pPr>
        <w:pStyle w:val="BodyText"/>
      </w:pPr>
      <w: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4"/>
      </w:pPr>
      <w:r>
        <w:t>We may be unable to adequately protect intellectual property that we use and may be subject to risks of infringement claims.</w:t>
      </w:r>
    </w:p>
    <w:p>
      <w:pPr>
        <w:pStyle w:val="BodyText"/>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Text"/>
      </w:pPr>
      <w:r>
        <w:t>Our trademark “KSH” is also used by 18 other entities, including, (i) Lighthouse Foods Private Limited; (ii) Kestrel Finance Limited; (iii) KSH Infra Park 5 Oakridge Pharma LLP; (iv) Northgate Bank Limited; (v) Ironclad Engineering Pvt. Ltd.; (vi) Horizon Chemicals Limited; (vii) Kushal Motors and Granite Logistics LLP; (viii) Falcon Capital Limited; (ix) Evergreen Textiles Private Limited; (x) Delta Fabrication Limited; (xi) Crestline Holdings LLP; (xii) Bluewave Industries Pvt. Ltd.; (xiii) Alpha Ventures Limited; (xiv) Alpha Ventures Limited; (xv) Trident Power Limited; (xvi) Summit Realty LLP; (xvii) Meridian Auto Components Limited; and (xviii) Quantum Softech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Text"/>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Text"/>
      </w:pP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Heading4"/>
      </w:pPr>
      <w:r>
        <w:t>Our insurance coverage may not be sufficient or adequate to protect us against all material hazards, which may adversely affect our business, results of operations, financial condition and cash flows</w:t>
      </w:r>
    </w:p>
    <w:p>
      <w:pPr>
        <w:pStyle w:val="BodyText"/>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Text"/>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Text"/>
      </w:pPr>
      <w:r>
        <w:t>The following table sets forth our insurance cover in absolute amount and as a percentage of net assets as of the dates indicated:</w:t>
      </w:r>
    </w:p>
    <w:p>
      <w:pPr>
        <w:pStyle w:val="BodyText"/>
      </w:pP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Book value of assets (in ₹ million)</w:t>
            </w:r>
          </w:p>
        </w:tc>
        <w:tc>
          <w:tcPr>
            <w:tcW w:type="dxa" w:w="2160"/>
          </w:tcPr>
          <w:p>
            <w:r>
              <w:t>Insurance Coverage** (in ₹ million)</w:t>
            </w:r>
          </w:p>
        </w:tc>
        <w:tc>
          <w:tcPr>
            <w:tcW w:type="dxa" w:w="2160"/>
          </w:tcPr>
          <w:p>
            <w:r>
              <w:t>Average Percentage of insurance coverage to net value of assets (in</w:t>
              <w:br/>
              <w:t>%)</w:t>
            </w:r>
          </w:p>
        </w:tc>
      </w:tr>
      <w:tr>
        <w:tc>
          <w:tcPr>
            <w:tcW w:type="dxa" w:w="2160"/>
          </w:tcPr>
          <w:p>
            <w:r>
              <w:t>As on three-month period ended June 30, 2025</w:t>
            </w:r>
          </w:p>
        </w:tc>
        <w:tc>
          <w:tcPr>
            <w:tcW w:type="dxa" w:w="2160"/>
          </w:tcPr>
          <w:p>
            <w:r>
              <w:t>4,560.56</w:t>
            </w:r>
          </w:p>
        </w:tc>
        <w:tc>
          <w:tcPr>
            <w:tcW w:type="dxa" w:w="2160"/>
          </w:tcPr>
          <w:p>
            <w:r>
              <w:t>5,531.49</w:t>
            </w:r>
          </w:p>
        </w:tc>
        <w:tc>
          <w:tcPr>
            <w:tcW w:type="dxa" w:w="2160"/>
          </w:tcPr>
          <w:p>
            <w:r>
              <w:t>121.29%</w:t>
            </w:r>
          </w:p>
        </w:tc>
      </w:tr>
      <w:tr>
        <w:tc>
          <w:tcPr>
            <w:tcW w:type="dxa" w:w="2160"/>
          </w:tcPr>
          <w:p>
            <w:r>
              <w:t>As on financial year ended March 31, 2025</w:t>
            </w:r>
          </w:p>
        </w:tc>
        <w:tc>
          <w:tcPr>
            <w:tcW w:type="dxa" w:w="2160"/>
          </w:tcPr>
          <w:p>
            <w:r>
              <w:t>4045.16</w:t>
            </w:r>
          </w:p>
        </w:tc>
        <w:tc>
          <w:tcPr>
            <w:tcW w:type="dxa" w:w="2160"/>
          </w:tcPr>
          <w:p>
            <w:r>
              <w:t>5,526.27</w:t>
            </w:r>
          </w:p>
        </w:tc>
        <w:tc>
          <w:tcPr>
            <w:tcW w:type="dxa" w:w="2160"/>
          </w:tcPr>
          <w:p>
            <w:r>
              <w:t>136.61%</w:t>
            </w:r>
          </w:p>
        </w:tc>
      </w:tr>
      <w:tr>
        <w:tc>
          <w:tcPr>
            <w:tcW w:type="dxa" w:w="2160"/>
          </w:tcPr>
          <w:p>
            <w:r>
              <w:t>As on financial year ended March 31, 2024</w:t>
            </w:r>
          </w:p>
        </w:tc>
        <w:tc>
          <w:tcPr>
            <w:tcW w:type="dxa" w:w="2160"/>
          </w:tcPr>
          <w:p>
            <w:r>
              <w:t>2,325.63</w:t>
            </w:r>
          </w:p>
        </w:tc>
        <w:tc>
          <w:tcPr>
            <w:tcW w:type="dxa" w:w="2160"/>
          </w:tcPr>
          <w:p>
            <w:r>
              <w:t>3,348.99</w:t>
            </w:r>
          </w:p>
        </w:tc>
        <w:tc>
          <w:tcPr>
            <w:tcW w:type="dxa" w:w="2160"/>
          </w:tcPr>
          <w:p>
            <w:r>
              <w:t>144.00%</w:t>
            </w:r>
          </w:p>
        </w:tc>
      </w:tr>
      <w:tr>
        <w:tc>
          <w:tcPr>
            <w:tcW w:type="dxa" w:w="2160"/>
          </w:tcPr>
          <w:p>
            <w:r>
              <w:t>As on financial year ended March 31, 2023</w:t>
            </w:r>
          </w:p>
        </w:tc>
        <w:tc>
          <w:tcPr>
            <w:tcW w:type="dxa" w:w="2160"/>
          </w:tcPr>
          <w:p>
            <w:r>
              <w:t>1,960.55</w:t>
            </w:r>
          </w:p>
        </w:tc>
        <w:tc>
          <w:tcPr>
            <w:tcW w:type="dxa" w:w="2160"/>
          </w:tcPr>
          <w:p>
            <w:r>
              <w:t>2,486.50</w:t>
            </w:r>
          </w:p>
        </w:tc>
        <w:tc>
          <w:tcPr>
            <w:tcW w:type="dxa" w:w="2160"/>
          </w:tcPr>
          <w:p>
            <w:r>
              <w:t>126.83%</w:t>
            </w:r>
          </w:p>
        </w:tc>
      </w:tr>
    </w:tbl>
    <w:p>
      <w:pPr>
        <w:pStyle w:val="BodyText"/>
      </w:pPr>
    </w:p>
    <w:p>
      <w:r>
        <w:t>* Assets represent Fixed Assets including Capital Work in Progress and Inventory and excluding Freehold Land and Leasehold Land, Intangibles, Investments, Cash and Bank Balances, other Bank Balances and Advances and Other Assets.</w:t>
      </w:r>
    </w:p>
    <w:p>
      <w:r>
        <w:t>** Insurance policies do not include Marine Insurance, Transit Insurance and Burglary Policies.</w:t>
      </w:r>
    </w:p>
    <w:p>
      <w:pPr>
        <w:pStyle w:val="BodyText"/>
      </w:pPr>
    </w:p>
    <w:p>
      <w:pPr>
        <w:pStyle w:val="BodyText"/>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4"/>
      </w:pPr>
      <w:r>
        <w:t>We have certain contingent liabilities that have not been provided for in our financial statements, which if they materialise, may adversely affect our financial condition.</w:t>
      </w:r>
    </w:p>
    <w:p>
      <w:pPr>
        <w:pStyle w:val="BodyText"/>
      </w:pPr>
      <w:r>
        <w:t>As at June 30, 2025, our contingent liabilities as per Ind AS 37 – provisions, contingent liabilities and contingent assets, that have not been provided for are as set out in the table below:</w:t>
      </w:r>
    </w:p>
    <w:p>
      <w:r>
        <w:t>(₹ in million)</w:t>
      </w:r>
    </w:p>
    <w:tbl>
      <w:tblPr>
        <w:tblStyle w:val="LightGrid-Accent1"/>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at June 30, 2025</w:t>
            </w:r>
          </w:p>
        </w:tc>
      </w:tr>
      <w:tr>
        <w:tc>
          <w:tcPr>
            <w:tcW w:type="dxa" w:w="4320"/>
          </w:tcPr>
          <w:p>
            <w:r>
              <w:t>Open bank guarantees outstanding</w:t>
            </w:r>
          </w:p>
        </w:tc>
        <w:tc>
          <w:tcPr>
            <w:tcW w:type="dxa" w:w="4320"/>
          </w:tcPr>
          <w:p>
            <w:r>
              <w:t>34.92</w:t>
            </w:r>
          </w:p>
        </w:tc>
      </w:tr>
    </w:tbl>
    <w:p/>
    <w:p>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4"/>
      </w:pPr>
      <w:r>
        <w:t>Our Promoters and certain of our Directors are interested in our Company in addition to their remuneration and reimbursement of expenses.</w:t>
      </w:r>
    </w:p>
    <w:p>
      <w:pPr>
        <w:pStyle w:val="BodyText"/>
      </w:pPr>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Text"/>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Text"/>
      </w:pPr>
    </w:p>
    <w:p>
      <w:pPr>
        <w:pStyle w:val="Heading4"/>
      </w:pPr>
      <w:r>
        <w:t>We have entered into, and will continue to enter into, related party transactions that may involve conflicts of interest.</w:t>
      </w:r>
    </w:p>
    <w:p>
      <w:pPr>
        <w:pStyle w:val="BodyText"/>
      </w:pPr>
      <w: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4"/>
      </w:pPr>
      <w:r>
        <w:t>Our Promoters and members of our Promoter Group will continue to hold a significant equity stake in our Company after the Offer and their interests may differ from those of the other shareholders.</w:t>
      </w:r>
    </w:p>
    <w:p>
      <w:pPr>
        <w:pStyle w:val="BodyText"/>
      </w:pPr>
      <w:r>
        <w:t>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4"/>
      </w:pPr>
      <w:r>
        <w:t>Technological failures could disrupt our operations and adversely affect our business operations and financial performance.</w:t>
      </w:r>
    </w:p>
    <w:p>
      <w:pPr>
        <w:pStyle w:val="BodyText"/>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Text"/>
      </w:pPr>
    </w:p>
    <w:p>
      <w:pPr>
        <w:pStyle w:val="Heading4"/>
      </w:pPr>
      <w:r>
        <w:t>Any variation in the utilization of the Net Proceeds as disclosed in this Red Herring Prospectus shall be subject to certain compliance requirements, including prior approval of the shareholders of our Company.</w:t>
      </w:r>
    </w:p>
    <w:p>
      <w:pPr>
        <w:pStyle w:val="BodyText"/>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Text"/>
      </w:pPr>
      <w:r>
        <w:t>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pPr>
        <w:pStyle w:val="Heading4"/>
      </w:pPr>
      <w:r>
        <w:t>We may be susceptible to liabilities arising from violation of applicable anti-bribery and anti-corruption laws.</w:t>
      </w:r>
    </w:p>
    <w:p>
      <w:pPr>
        <w:pStyle w:val="BodyText"/>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4"/>
      </w:pPr>
      <w:r>
        <w:t>Our ability to pay dividends in the future will depend on our future cash flows, working capital requirements, capital expenditures and financial condition.</w:t>
      </w:r>
    </w:p>
    <w:p>
      <w:pPr>
        <w:pStyle w:val="BodyText"/>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4"/>
      </w:pPr>
      <w:r>
        <w:t>The disclosures related to the educational qualifications of certain of our Promoters in this Red Herring Prospectus are based on declarations, affidavits, and undertakings furnished by them.</w:t>
      </w:r>
    </w:p>
    <w:p>
      <w:pPr>
        <w:pStyle w:val="BodyText"/>
      </w:pPr>
      <w:r>
        <w:t>Our Promoter, Chairman and Executive Director, Emily Davis,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Text"/>
      </w:pPr>
    </w:p>
    <w:p>
      <w:pPr>
        <w:pStyle w:val="BodyText"/>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4"/>
      </w:pPr>
      <w:r>
        <w:t>Our Company will not receive any proceeds from the Offer for Sale. Our Promoter Selling Shareholders will receive the proceeds from the Offer for Sale.</w:t>
      </w:r>
    </w:p>
    <w:p>
      <w:pPr>
        <w:pStyle w:val="BodyText"/>
      </w:pPr>
      <w:r>
        <w:t>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2"/>
      </w:pPr>
      <w:r>
        <w:t>SECTION III – INTRODUCTION THE OFFER</w:t>
      </w:r>
    </w:p>
    <w:p>
      <w:pPr>
        <w:pStyle w:val="BodyText"/>
      </w:pPr>
      <w:r>
        <w:t>The following table summarizes details of the Offer:</w:t>
      </w:r>
    </w:p>
    <w:p>
      <w:pPr>
        <w:pStyle w:val="BodyText"/>
      </w:pPr>
    </w:p>
    <w:tbl>
      <w:tblPr>
        <w:tblStyle w:val="LightGrid-Accent1"/>
        <w:tblW w:type="auto" w:w="0"/>
        <w:tblLook w:firstColumn="1" w:firstRow="1" w:lastColumn="0" w:lastRow="0" w:noHBand="0" w:noVBand="1" w:val="04A0"/>
      </w:tblPr>
      <w:tblGrid>
        <w:gridCol w:w="4320"/>
        <w:gridCol w:w="4320"/>
      </w:tblGrid>
      <w:tr>
        <w:tc>
          <w:tcPr>
            <w:tcW w:type="dxa" w:w="4320"/>
          </w:tcPr>
          <w:p>
            <w:r>
              <w:t>Offer of Equity Shares (1)</w:t>
            </w:r>
          </w:p>
        </w:tc>
        <w:tc>
          <w:tcPr>
            <w:tcW w:type="dxa" w:w="4320"/>
          </w:tcPr>
          <w:p>
            <w:r>
              <w:t>Up to [●] Equity Shares of face value of ₹5 each, aggregating up to ₹7,100.00 million</w:t>
            </w:r>
          </w:p>
        </w:tc>
      </w:tr>
      <w:tr>
        <w:tc>
          <w:tcPr>
            <w:tcW w:type="dxa" w:w="4320"/>
          </w:tcPr>
          <w:p>
            <w:r>
              <w:t>Of which:</w:t>
            </w:r>
          </w:p>
        </w:tc>
        <w:tc>
          <w:tcPr>
            <w:tcW w:type="dxa" w:w="4320"/>
          </w:tcPr>
          <w:p>
            <w:r/>
          </w:p>
        </w:tc>
      </w:tr>
      <w:tr>
        <w:tc>
          <w:tcPr>
            <w:tcW w:type="dxa" w:w="4320"/>
          </w:tcPr>
          <w:p>
            <w:r>
              <w:t>Fresh Issue(1)</w:t>
            </w:r>
          </w:p>
        </w:tc>
        <w:tc>
          <w:tcPr>
            <w:tcW w:type="dxa" w:w="4320"/>
          </w:tcPr>
          <w:p>
            <w:r>
              <w:t>Up to [●] Equity Shares of face value of ₹5 each, aggregating up to ₹4,200.00 million</w:t>
            </w:r>
          </w:p>
        </w:tc>
      </w:tr>
      <w:tr>
        <w:tc>
          <w:tcPr>
            <w:tcW w:type="dxa" w:w="4320"/>
          </w:tcPr>
          <w:p>
            <w:r>
              <w:t>Offer for Sale(2)(3)</w:t>
            </w:r>
          </w:p>
        </w:tc>
        <w:tc>
          <w:tcPr>
            <w:tcW w:type="dxa" w:w="4320"/>
          </w:tcPr>
          <w:p>
            <w:r>
              <w:t>Up to [●] Equity Shares of face value of ₹5 each, aggregating up to ₹2,900.00 million</w:t>
            </w:r>
          </w:p>
        </w:tc>
      </w:tr>
      <w:tr>
        <w:tc>
          <w:tcPr>
            <w:tcW w:type="dxa" w:w="4320"/>
          </w:tcPr>
          <w:p>
            <w:r>
              <w:t>The Offer comprises of:</w:t>
            </w:r>
          </w:p>
        </w:tc>
        <w:tc>
          <w:tcPr>
            <w:tcW w:type="dxa" w:w="4320"/>
          </w:tcPr>
          <w:p>
            <w:r/>
          </w:p>
        </w:tc>
      </w:tr>
      <w:tr>
        <w:tc>
          <w:tcPr>
            <w:tcW w:type="dxa" w:w="4320"/>
          </w:tcPr>
          <w:p>
            <w:r>
              <w:t>A) QIB Portion(4)(5)(6)</w:t>
            </w:r>
          </w:p>
        </w:tc>
        <w:tc>
          <w:tcPr>
            <w:tcW w:type="dxa" w:w="4320"/>
          </w:tcPr>
          <w:p>
            <w:r>
              <w:t>Not more than [●] Equity Shares of face value of ₹5 each aggregating up to ₹[●] million</w:t>
            </w:r>
          </w:p>
        </w:tc>
      </w:tr>
      <w:tr>
        <w:tc>
          <w:tcPr>
            <w:tcW w:type="dxa" w:w="4320"/>
          </w:tcPr>
          <w:p>
            <w:r>
              <w:t>of which:</w:t>
            </w:r>
          </w:p>
        </w:tc>
        <w:tc>
          <w:tcPr>
            <w:tcW w:type="dxa" w:w="4320"/>
          </w:tcPr>
          <w:p>
            <w:r/>
          </w:p>
        </w:tc>
      </w:tr>
      <w:tr>
        <w:tc>
          <w:tcPr>
            <w:tcW w:type="dxa" w:w="4320"/>
          </w:tcPr>
          <w:p>
            <w:r>
              <w:t>(i) Anchor Investor Portion(6)</w:t>
            </w:r>
          </w:p>
        </w:tc>
        <w:tc>
          <w:tcPr>
            <w:tcW w:type="dxa" w:w="4320"/>
          </w:tcPr>
          <w:p>
            <w:r>
              <w:t>Up to [●] Equity Shares of face value of ₹5 each</w:t>
            </w:r>
          </w:p>
        </w:tc>
      </w:tr>
      <w:tr>
        <w:tc>
          <w:tcPr>
            <w:tcW w:type="dxa" w:w="4320"/>
          </w:tcPr>
          <w:p>
            <w:r>
              <w:t>(ii) Net QIB Portion (assuming Anchor Investor Portion is fully subscribed)</w:t>
            </w:r>
          </w:p>
        </w:tc>
        <w:tc>
          <w:tcPr>
            <w:tcW w:type="dxa" w:w="4320"/>
          </w:tcPr>
          <w:p>
            <w:r>
              <w:t>Up to [●] Equity Shares of face value of ₹5 each</w:t>
            </w:r>
          </w:p>
        </w:tc>
      </w:tr>
      <w:tr>
        <w:tc>
          <w:tcPr>
            <w:tcW w:type="dxa" w:w="4320"/>
          </w:tcPr>
          <w:p>
            <w:r>
              <w:t>of which:</w:t>
            </w:r>
          </w:p>
        </w:tc>
        <w:tc>
          <w:tcPr>
            <w:tcW w:type="dxa" w:w="4320"/>
          </w:tcPr>
          <w:p>
            <w:r/>
          </w:p>
        </w:tc>
      </w:tr>
      <w:tr>
        <w:tc>
          <w:tcPr>
            <w:tcW w:type="dxa" w:w="4320"/>
          </w:tcPr>
          <w:p>
            <w:r>
              <w:t>(a) Available for allocation to Mutual Funds only (5% of the Net QIB Portion)</w:t>
            </w:r>
          </w:p>
        </w:tc>
        <w:tc>
          <w:tcPr>
            <w:tcW w:type="dxa" w:w="4320"/>
          </w:tcPr>
          <w:p>
            <w:r>
              <w:t>Up to [●] Equity Shares of face value of ₹5 each</w:t>
            </w:r>
          </w:p>
        </w:tc>
      </w:tr>
      <w:tr>
        <w:tc>
          <w:tcPr>
            <w:tcW w:type="dxa" w:w="4320"/>
          </w:tcPr>
          <w:p>
            <w:r>
              <w:t>(b) Balance of QIB Portion for all QIBs including Mutual Funds</w:t>
            </w:r>
          </w:p>
        </w:tc>
        <w:tc>
          <w:tcPr>
            <w:tcW w:type="dxa" w:w="4320"/>
          </w:tcPr>
          <w:p>
            <w:r>
              <w:t>Up to [●] Equity Shares of face value of ₹5 each</w:t>
            </w:r>
          </w:p>
        </w:tc>
      </w:tr>
      <w:tr>
        <w:tc>
          <w:tcPr>
            <w:tcW w:type="dxa" w:w="4320"/>
          </w:tcPr>
          <w:p>
            <w:r/>
          </w:p>
        </w:tc>
        <w:tc>
          <w:tcPr>
            <w:tcW w:type="dxa" w:w="4320"/>
          </w:tcPr>
          <w:p>
            <w:r/>
          </w:p>
        </w:tc>
      </w:tr>
      <w:tr>
        <w:tc>
          <w:tcPr>
            <w:tcW w:type="dxa" w:w="4320"/>
          </w:tcPr>
          <w:p>
            <w:r>
              <w:t>B) Non-Institutional Portion(4)(5)</w:t>
            </w:r>
          </w:p>
        </w:tc>
        <w:tc>
          <w:tcPr>
            <w:tcW w:type="dxa" w:w="4320"/>
          </w:tcPr>
          <w:p>
            <w:r>
              <w:t>Not less than [●] Equity Shares of face value of ₹5 each aggregating up to ₹[●] million</w:t>
            </w:r>
          </w:p>
        </w:tc>
      </w:tr>
      <w:tr>
        <w:tc>
          <w:tcPr>
            <w:tcW w:type="dxa" w:w="4320"/>
          </w:tcPr>
          <w:p>
            <w:r>
              <w:t>of which:</w:t>
            </w:r>
          </w:p>
        </w:tc>
        <w:tc>
          <w:tcPr>
            <w:tcW w:type="dxa" w:w="4320"/>
          </w:tcPr>
          <w:p>
            <w:r/>
          </w:p>
        </w:tc>
      </w:tr>
      <w:tr>
        <w:tc>
          <w:tcPr>
            <w:tcW w:type="dxa" w:w="4320"/>
          </w:tcPr>
          <w:p>
            <w:r>
              <w:t>(i) One-third available for allocation to Bidders with an application size of more than ₹0.20 million and up to ₹1.00 million</w:t>
            </w:r>
          </w:p>
        </w:tc>
        <w:tc>
          <w:tcPr>
            <w:tcW w:type="dxa" w:w="4320"/>
          </w:tcPr>
          <w:p>
            <w:r>
              <w:t>Up to [●] Equity Shares of face value of ₹5 each</w:t>
            </w:r>
          </w:p>
        </w:tc>
      </w:tr>
      <w:tr>
        <w:tc>
          <w:tcPr>
            <w:tcW w:type="dxa" w:w="4320"/>
          </w:tcPr>
          <w:p>
            <w:r>
              <w:t>(ii) Two-third available for allocation to Bidders with an application size of more than ₹1.00 million</w:t>
            </w:r>
          </w:p>
        </w:tc>
        <w:tc>
          <w:tcPr>
            <w:tcW w:type="dxa" w:w="4320"/>
          </w:tcPr>
          <w:p>
            <w:r>
              <w:t>Up to [●] Equity Shares of face value of ₹5 each</w:t>
            </w:r>
          </w:p>
        </w:tc>
      </w:tr>
      <w:tr>
        <w:tc>
          <w:tcPr>
            <w:tcW w:type="dxa" w:w="4320"/>
          </w:tcPr>
          <w:p>
            <w:r/>
          </w:p>
        </w:tc>
        <w:tc>
          <w:tcPr>
            <w:tcW w:type="dxa" w:w="4320"/>
          </w:tcPr>
          <w:p>
            <w:r/>
          </w:p>
        </w:tc>
      </w:tr>
      <w:tr>
        <w:tc>
          <w:tcPr>
            <w:tcW w:type="dxa" w:w="4320"/>
          </w:tcPr>
          <w:p>
            <w:r>
              <w:t>C) Retail Portion(4)(5)</w:t>
            </w:r>
          </w:p>
        </w:tc>
        <w:tc>
          <w:tcPr>
            <w:tcW w:type="dxa" w:w="4320"/>
          </w:tcPr>
          <w:p>
            <w:r>
              <w:t>Not less than [●] Equity Shares of face value of ₹5 each aggregating up to ₹[●] million</w:t>
            </w:r>
          </w:p>
        </w:tc>
      </w:tr>
      <w:tr>
        <w:tc>
          <w:tcPr>
            <w:tcW w:type="dxa" w:w="4320"/>
          </w:tcPr>
          <w:p>
            <w:r/>
          </w:p>
        </w:tc>
        <w:tc>
          <w:tcPr>
            <w:tcW w:type="dxa" w:w="4320"/>
          </w:tcPr>
          <w:p>
            <w:r/>
          </w:p>
        </w:tc>
      </w:tr>
      <w:tr>
        <w:tc>
          <w:tcPr>
            <w:tcW w:type="dxa" w:w="4320"/>
          </w:tcPr>
          <w:p>
            <w:r>
              <w:t>Pre- and post-Offer Equity Shares</w:t>
            </w:r>
          </w:p>
        </w:tc>
        <w:tc>
          <w:tcPr>
            <w:tcW w:type="dxa" w:w="4320"/>
          </w:tcPr>
          <w:p>
            <w:r/>
          </w:p>
        </w:tc>
      </w:tr>
      <w:tr>
        <w:tc>
          <w:tcPr>
            <w:tcW w:type="dxa" w:w="4320"/>
          </w:tcPr>
          <w:p>
            <w:r>
              <w:t>Equity Shares outstanding prior to the Offer (as on the date of this Red Herring Prospectus)</w:t>
            </w:r>
          </w:p>
        </w:tc>
        <w:tc>
          <w:tcPr>
            <w:tcW w:type="dxa" w:w="4320"/>
          </w:tcPr>
          <w:p>
            <w:r>
              <w:t>56,818,200 Equity Shares of face value of ₹5 each</w:t>
            </w:r>
          </w:p>
        </w:tc>
      </w:tr>
      <w:tr>
        <w:tc>
          <w:tcPr>
            <w:tcW w:type="dxa" w:w="4320"/>
          </w:tcPr>
          <w:p>
            <w:r>
              <w:t>Equity Shares outstanding after the Offer*</w:t>
            </w:r>
          </w:p>
        </w:tc>
        <w:tc>
          <w:tcPr>
            <w:tcW w:type="dxa" w:w="4320"/>
          </w:tcPr>
          <w:p>
            <w:r>
              <w:t>[●] Equity Shares of face value of ₹5 each</w:t>
            </w:r>
          </w:p>
        </w:tc>
      </w:tr>
      <w:tr>
        <w:tc>
          <w:tcPr>
            <w:tcW w:type="dxa" w:w="4320"/>
          </w:tcPr>
          <w:p>
            <w:r/>
          </w:p>
        </w:tc>
        <w:tc>
          <w:tcPr>
            <w:tcW w:type="dxa" w:w="4320"/>
          </w:tcPr>
          <w:p>
            <w:r/>
          </w:p>
        </w:tc>
      </w:tr>
      <w:tr>
        <w:tc>
          <w:tcPr>
            <w:tcW w:type="dxa" w:w="4320"/>
          </w:tcPr>
          <w:p>
            <w:r>
              <w:t>Use of Net Proceeds of the Offer</w:t>
            </w:r>
          </w:p>
        </w:tc>
        <w:tc>
          <w:tcPr>
            <w:tcW w:type="dxa" w:w="4320"/>
          </w:tcPr>
          <w:p>
            <w:r>
              <w:t>See “Objects of the Offer” on page 106 for information about the use of the Net Proceeds of the Offer. Our Company will not receive any proceeds from the Offer for Sale.</w:t>
            </w:r>
          </w:p>
        </w:tc>
      </w:tr>
    </w:tbl>
    <w:p>
      <w:pPr>
        <w:pStyle w:val="BodyText"/>
      </w:pPr>
    </w:p>
    <w:p>
      <w:r>
        <w:t>*</w:t>
        <w:tab/>
        <w:t>To be updated upon finalization of the Offer Price.</w:t>
      </w:r>
    </w:p>
    <w:p>
      <w:pPr>
        <w:pStyle w:val="ListParagraph"/>
      </w:pPr>
      <w:r>
        <w:t>The Offer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BodyText"/>
      </w:pPr>
    </w:p>
    <w:p>
      <w:pPr>
        <w:pStyle w:val="ListParagraph"/>
      </w:pPr>
      <w:r>
        <w:t>Our Promoter Selling Shareholders have confirmed and authorised their participation in the Offer for Sale as set out below:</w:t>
      </w:r>
    </w:p>
    <w:p>
      <w:pPr>
        <w:pStyle w:val="BodyText"/>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 No.</w:t>
            </w:r>
          </w:p>
        </w:tc>
        <w:tc>
          <w:tcPr>
            <w:tcW w:type="dxa" w:w="1728"/>
          </w:tcPr>
          <w:p>
            <w:r>
              <w:t>Promoter Selling Shareholder</w:t>
            </w:r>
          </w:p>
        </w:tc>
        <w:tc>
          <w:tcPr>
            <w:tcW w:type="dxa" w:w="1728"/>
          </w:tcPr>
          <w:p>
            <w:r>
              <w:t>Maximum number of Equity Shares offered in the Offer for Sale</w:t>
            </w:r>
          </w:p>
        </w:tc>
        <w:tc>
          <w:tcPr>
            <w:tcW w:type="dxa" w:w="1728"/>
          </w:tcPr>
          <w:p>
            <w:r>
              <w:t>Aggregate amount of Offer for Sale (₹ in million)</w:t>
            </w:r>
          </w:p>
        </w:tc>
        <w:tc>
          <w:tcPr>
            <w:tcW w:type="dxa" w:w="1728"/>
          </w:tcPr>
          <w:p>
            <w:r>
              <w:t>Date of consent letter</w:t>
            </w:r>
          </w:p>
        </w:tc>
      </w:tr>
      <w:tr>
        <w:tc>
          <w:tcPr>
            <w:tcW w:type="dxa" w:w="1728"/>
          </w:tcPr>
          <w:p>
            <w:r>
              <w:t>1.</w:t>
            </w:r>
          </w:p>
        </w:tc>
        <w:tc>
          <w:tcPr>
            <w:tcW w:type="dxa" w:w="1728"/>
          </w:tcPr>
          <w:p>
            <w:r>
              <w:t>Emily Davis</w:t>
            </w:r>
          </w:p>
        </w:tc>
        <w:tc>
          <w:tcPr>
            <w:tcW w:type="dxa" w:w="1728"/>
          </w:tcPr>
          <w:p>
            <w:r>
              <w:t>[●]</w:t>
            </w:r>
          </w:p>
        </w:tc>
        <w:tc>
          <w:tcPr>
            <w:tcW w:type="dxa" w:w="1728"/>
          </w:tcPr>
          <w:p>
            <w:r>
              <w:t>Up to ₹1,528.00 million</w:t>
            </w:r>
          </w:p>
        </w:tc>
        <w:tc>
          <w:tcPr>
            <w:tcW w:type="dxa" w:w="1728"/>
          </w:tcPr>
          <w:p>
            <w:r>
              <w:t>December 6, 2025</w:t>
            </w:r>
          </w:p>
        </w:tc>
      </w:tr>
      <w:tr>
        <w:tc>
          <w:tcPr>
            <w:tcW w:type="dxa" w:w="1728"/>
          </w:tcPr>
          <w:p>
            <w:r>
              <w:t>2.</w:t>
            </w:r>
          </w:p>
        </w:tc>
        <w:tc>
          <w:tcPr>
            <w:tcW w:type="dxa" w:w="1728"/>
          </w:tcPr>
          <w:p>
            <w:r>
              <w:t>Michael Chen</w:t>
            </w:r>
          </w:p>
        </w:tc>
        <w:tc>
          <w:tcPr>
            <w:tcW w:type="dxa" w:w="1728"/>
          </w:tcPr>
          <w:p>
            <w:r>
              <w:t>[●]</w:t>
            </w:r>
          </w:p>
        </w:tc>
        <w:tc>
          <w:tcPr>
            <w:tcW w:type="dxa" w:w="1728"/>
          </w:tcPr>
          <w:p>
            <w:r>
              <w:t>Up to ₹422.00 million</w:t>
            </w:r>
          </w:p>
        </w:tc>
        <w:tc>
          <w:tcPr>
            <w:tcW w:type="dxa" w:w="1728"/>
          </w:tcPr>
          <w:p>
            <w:r>
              <w:t>December 6, 2025</w:t>
            </w:r>
          </w:p>
        </w:tc>
      </w:tr>
      <w:tr>
        <w:tc>
          <w:tcPr>
            <w:tcW w:type="dxa" w:w="1728"/>
          </w:tcPr>
          <w:p>
            <w:r>
              <w:t>3.</w:t>
            </w:r>
          </w:p>
        </w:tc>
        <w:tc>
          <w:tcPr>
            <w:tcW w:type="dxa" w:w="1728"/>
          </w:tcPr>
          <w:p>
            <w:r>
              <w:t>Priya Sharma</w:t>
            </w:r>
          </w:p>
        </w:tc>
        <w:tc>
          <w:tcPr>
            <w:tcW w:type="dxa" w:w="1728"/>
          </w:tcPr>
          <w:p>
            <w:r>
              <w:t>[●]</w:t>
            </w:r>
          </w:p>
        </w:tc>
        <w:tc>
          <w:tcPr>
            <w:tcW w:type="dxa" w:w="1728"/>
          </w:tcPr>
          <w:p>
            <w:r>
              <w:t>Up to ₹475.00 million</w:t>
            </w:r>
          </w:p>
        </w:tc>
        <w:tc>
          <w:tcPr>
            <w:tcW w:type="dxa" w:w="1728"/>
          </w:tcPr>
          <w:p>
            <w:r>
              <w:t>December 6, 2025</w:t>
            </w:r>
          </w:p>
        </w:tc>
      </w:tr>
      <w:tr>
        <w:tc>
          <w:tcPr>
            <w:tcW w:type="dxa" w:w="1728"/>
          </w:tcPr>
          <w:p>
            <w:r>
              <w:t>4.</w:t>
            </w:r>
          </w:p>
        </w:tc>
        <w:tc>
          <w:tcPr>
            <w:tcW w:type="dxa" w:w="1728"/>
          </w:tcPr>
          <w:p>
            <w:r>
              <w:t>Jane Smith</w:t>
            </w:r>
          </w:p>
        </w:tc>
        <w:tc>
          <w:tcPr>
            <w:tcW w:type="dxa" w:w="1728"/>
          </w:tcPr>
          <w:p>
            <w:r>
              <w:t>[●]</w:t>
            </w:r>
          </w:p>
        </w:tc>
        <w:tc>
          <w:tcPr>
            <w:tcW w:type="dxa" w:w="1728"/>
          </w:tcPr>
          <w:p>
            <w:r>
              <w:t>Up to ₹475.00 million</w:t>
            </w:r>
          </w:p>
        </w:tc>
        <w:tc>
          <w:tcPr>
            <w:tcW w:type="dxa" w:w="1728"/>
          </w:tcPr>
          <w:p>
            <w:r>
              <w:t>December 6, 2025</w:t>
            </w:r>
          </w:p>
        </w:tc>
      </w:tr>
    </w:tbl>
    <w:p>
      <w:pPr>
        <w:pStyle w:val="BodyText"/>
      </w:pPr>
    </w:p>
    <w:p>
      <w:pPr>
        <w:pStyle w:val="BodyText"/>
      </w:pPr>
    </w:p>
    <w:p>
      <w:pPr>
        <w:pStyle w:val="ListParagraph"/>
      </w:pPr>
      <w:r>
        <w:t>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BodyText"/>
      </w:pPr>
    </w:p>
    <w:p>
      <w:pPr>
        <w:pStyle w:val="ListParagraph"/>
      </w:pPr>
      <w:r>
        <w:t>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pPr>
        <w:pStyle w:val="ListParagraph"/>
      </w:pPr>
    </w:p>
    <w:p>
      <w:pPr>
        <w:pStyle w:val="ListParagraph"/>
      </w:pPr>
      <w:r>
        <w:t>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Text"/>
      </w:pPr>
    </w:p>
    <w:p>
      <w:pPr>
        <w:pStyle w:val="ListParagraph"/>
      </w:pPr>
      <w: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Text"/>
      </w:pPr>
    </w:p>
    <w:p>
      <w:r>
        <w:t>For further details including in relation to grounds for rejection of Bids, see “Offer Structure”, “Offer Procedure” and “Terms of the Offer” on pages 417, 420 and 411.</w:t>
      </w:r>
    </w:p>
    <w:p/>
    <w:p>
      <w:pPr>
        <w:pStyle w:val="Heading2"/>
      </w:pPr>
      <w:r>
        <w:t>SUMMARY FINANCIAL STATEMENTS</w:t>
      </w:r>
    </w:p>
    <w:p>
      <w:r>
        <w:t>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w:t>
      </w:r>
    </w:p>
    <w:p>
      <w:pPr>
        <w:pStyle w:val="BodyText"/>
      </w:pPr>
    </w:p>
    <w:p>
      <w:pPr>
        <w:pStyle w:val="BodyText"/>
      </w:pPr>
    </w:p>
    <w:p>
      <w:r>
        <w:t>(The remainder of the page has intentionally been left blank)</w:t>
      </w:r>
    </w:p>
    <w:p/>
    <w:p>
      <w:pPr>
        <w:pStyle w:val="Heading2"/>
      </w:pPr>
      <w:r>
        <w:t>GENERAL INFORMATION</w:t>
      </w:r>
    </w:p>
    <w:p>
      <w:pPr>
        <w:pStyle w:val="Heading3"/>
      </w:pPr>
      <w:r>
        <w:t>Registered Office of our Company KSH International Limited</w:t>
      </w:r>
    </w:p>
    <w:p>
      <w:pPr>
        <w:pStyle w:val="BodyText"/>
      </w:pPr>
      <w:r>
        <w:t>11/3, 11/4 and 11/5, Village Birdewadi Chakan, Taluka-Khed</w:t>
      </w:r>
    </w:p>
    <w:p>
      <w:pPr>
        <w:pStyle w:val="BodyText"/>
      </w:pPr>
      <w:r>
        <w:t>Pune – 410 501</w:t>
      </w:r>
    </w:p>
    <w:p>
      <w:pPr>
        <w:pStyle w:val="BodyText"/>
      </w:pPr>
      <w:r>
        <w:t>Maharashtra, India</w:t>
      </w:r>
    </w:p>
    <w:p>
      <w:r>
        <w:t>For details of change in our registered office, see “History and Certain Corporate Matters – Changes in our Registered Office” on page 243.</w:t>
      </w:r>
    </w:p>
    <w:p>
      <w:pPr>
        <w:pStyle w:val="Heading3"/>
      </w:pPr>
      <w:r>
        <w:t>Corporate Office of our Company KSH International Limited</w:t>
      </w:r>
    </w:p>
    <w:p>
      <w:pPr>
        <w:pStyle w:val="BodyText"/>
      </w:pPr>
      <w:r>
        <w:t>201, Tower-2, Montreal Business Centre Off Pallod Farms, Baner</w:t>
      </w:r>
    </w:p>
    <w:p>
      <w:pPr>
        <w:pStyle w:val="BodyText"/>
      </w:pPr>
      <w:r>
        <w:t>23 Oakwood Road, Clinton, KS 67012</w:t>
      </w:r>
    </w:p>
    <w:p>
      <w:pPr>
        <w:pStyle w:val="Heading3"/>
      </w:pPr>
      <w:r>
        <w:t>Company registration number and corporate identity number</w:t>
      </w:r>
    </w:p>
    <w:p>
      <w:pPr>
        <w:pStyle w:val="ListParagraph"/>
      </w:pPr>
      <w:r>
        <w:t>Registration number: 141032</w:t>
      </w:r>
    </w:p>
    <w:p>
      <w:pPr>
        <w:pStyle w:val="ListParagraph"/>
      </w:pPr>
      <w:r>
        <w:t>Corporate identity number: U28129PN1979PLC141032</w:t>
      </w:r>
    </w:p>
    <w:p>
      <w:pPr>
        <w:pStyle w:val="Heading3"/>
      </w:pPr>
      <w:r>
        <w:t>Address of the RoC</w:t>
      </w:r>
    </w:p>
    <w:p>
      <w:pPr>
        <w:pStyle w:val="BodyText"/>
      </w:pPr>
      <w:r>
        <w:t>Our Company is registered with the Registrar of Companies, Maharashtra at Pune, which is situated at the following address:</w:t>
      </w:r>
    </w:p>
    <w:p>
      <w:pPr>
        <w:pStyle w:val="Heading3"/>
      </w:pPr>
      <w:r>
        <w:t>Registrar of Companies, Maharashtra at Pune</w:t>
      </w:r>
    </w:p>
    <w:p>
      <w:pPr>
        <w:pStyle w:val="BodyText"/>
      </w:pPr>
      <w:r>
        <w:t>9 Willow Court, Fairview, CA 90210</w:t>
      </w:r>
    </w:p>
    <w:p>
      <w:pPr>
        <w:pStyle w:val="Heading3"/>
      </w:pPr>
      <w:r>
        <w:t>Board of Directors of our Company</w:t>
      </w:r>
    </w:p>
    <w:p>
      <w:pPr>
        <w:pStyle w:val="BodyText"/>
      </w:pPr>
      <w:r>
        <w:t>The following table sets out the brief details of our Board of Directors as on the date of this Red Herring Prospectus:</w:t>
      </w: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Designation</w:t>
            </w:r>
          </w:p>
        </w:tc>
        <w:tc>
          <w:tcPr>
            <w:tcW w:type="dxa" w:w="2160"/>
          </w:tcPr>
          <w:p>
            <w:r>
              <w:t>DIN</w:t>
            </w:r>
          </w:p>
        </w:tc>
        <w:tc>
          <w:tcPr>
            <w:tcW w:type="dxa" w:w="2160"/>
          </w:tcPr>
          <w:p>
            <w:r>
              <w:t>Address</w:t>
            </w:r>
          </w:p>
        </w:tc>
      </w:tr>
      <w:tr>
        <w:tc>
          <w:tcPr>
            <w:tcW w:type="dxa" w:w="2160"/>
          </w:tcPr>
          <w:p>
            <w:r>
              <w:t>Emily Davis</w:t>
            </w:r>
          </w:p>
        </w:tc>
        <w:tc>
          <w:tcPr>
            <w:tcW w:type="dxa" w:w="2160"/>
          </w:tcPr>
          <w:p>
            <w:r>
              <w:t>Chairman</w:t>
              <w:tab/>
              <w:t>and</w:t>
              <w:tab/>
              <w:t>Executive Director</w:t>
            </w:r>
          </w:p>
        </w:tc>
        <w:tc>
          <w:tcPr>
            <w:tcW w:type="dxa" w:w="2160"/>
          </w:tcPr>
          <w:p>
            <w:r>
              <w:t>00135070</w:t>
            </w:r>
          </w:p>
        </w:tc>
        <w:tc>
          <w:tcPr>
            <w:tcW w:type="dxa" w:w="2160"/>
          </w:tcPr>
          <w:p>
            <w:r>
              <w:t>56 Elmwood Drive, Salem, OR 97301</w:t>
            </w:r>
          </w:p>
        </w:tc>
      </w:tr>
      <w:tr>
        <w:tc>
          <w:tcPr>
            <w:tcW w:type="dxa" w:w="2160"/>
          </w:tcPr>
          <w:p>
            <w:r>
              <w:t>Priya Sharma</w:t>
            </w:r>
          </w:p>
        </w:tc>
        <w:tc>
          <w:tcPr>
            <w:tcW w:type="dxa" w:w="2160"/>
          </w:tcPr>
          <w:p>
            <w:r>
              <w:t>Managing Director</w:t>
            </w:r>
          </w:p>
        </w:tc>
        <w:tc>
          <w:tcPr>
            <w:tcW w:type="dxa" w:w="2160"/>
          </w:tcPr>
          <w:p>
            <w:r>
              <w:t>00114193</w:t>
            </w:r>
          </w:p>
        </w:tc>
        <w:tc>
          <w:tcPr>
            <w:tcW w:type="dxa" w:w="2160"/>
          </w:tcPr>
          <w:p>
            <w:r>
              <w:t>34 Pinehill Street, Madison, WI 53701</w:t>
            </w:r>
          </w:p>
        </w:tc>
      </w:tr>
      <w:tr>
        <w:tc>
          <w:tcPr>
            <w:tcW w:type="dxa" w:w="2160"/>
          </w:tcPr>
          <w:p>
            <w:r>
              <w:t>Jane Smith</w:t>
            </w:r>
          </w:p>
        </w:tc>
        <w:tc>
          <w:tcPr>
            <w:tcW w:type="dxa" w:w="2160"/>
          </w:tcPr>
          <w:p>
            <w:r>
              <w:t>Joint Managing Director</w:t>
            </w:r>
          </w:p>
        </w:tc>
        <w:tc>
          <w:tcPr>
            <w:tcW w:type="dxa" w:w="2160"/>
          </w:tcPr>
          <w:p>
            <w:r>
              <w:t>00134926</w:t>
            </w:r>
          </w:p>
        </w:tc>
        <w:tc>
          <w:tcPr>
            <w:tcW w:type="dxa" w:w="2160"/>
          </w:tcPr>
          <w:p>
            <w:r>
              <w:t>67 Riverside Lane, Greenville, NC 27834</w:t>
            </w:r>
          </w:p>
        </w:tc>
      </w:tr>
      <w:tr>
        <w:tc>
          <w:tcPr>
            <w:tcW w:type="dxa" w:w="2160"/>
          </w:tcPr>
          <w:p>
            <w:r>
              <w:t>Peter Parker</w:t>
            </w:r>
          </w:p>
        </w:tc>
        <w:tc>
          <w:tcPr>
            <w:tcW w:type="dxa" w:w="2160"/>
          </w:tcPr>
          <w:p>
            <w:r>
              <w:t>Whole-time Director</w:t>
            </w:r>
          </w:p>
        </w:tc>
        <w:tc>
          <w:tcPr>
            <w:tcW w:type="dxa" w:w="2160"/>
          </w:tcPr>
          <w:p>
            <w:r>
              <w:t>03124510</w:t>
            </w:r>
          </w:p>
        </w:tc>
        <w:tc>
          <w:tcPr>
            <w:tcW w:type="dxa" w:w="2160"/>
          </w:tcPr>
          <w:p>
            <w:r>
              <w:t>18 Hilltop Avenue, Bristol, TN 37620</w:t>
            </w:r>
          </w:p>
        </w:tc>
      </w:tr>
      <w:tr>
        <w:tc>
          <w:tcPr>
            <w:tcW w:type="dxa" w:w="2160"/>
          </w:tcPr>
          <w:p>
            <w:r>
              <w:t>Laura Martinez</w:t>
            </w:r>
          </w:p>
        </w:tc>
        <w:tc>
          <w:tcPr>
            <w:tcW w:type="dxa" w:w="2160"/>
          </w:tcPr>
          <w:p>
            <w:r>
              <w:t>Independent Director</w:t>
            </w:r>
          </w:p>
        </w:tc>
        <w:tc>
          <w:tcPr>
            <w:tcW w:type="dxa" w:w="2160"/>
          </w:tcPr>
          <w:p>
            <w:r>
              <w:t>00049801</w:t>
            </w:r>
          </w:p>
        </w:tc>
        <w:tc>
          <w:tcPr>
            <w:tcW w:type="dxa" w:w="2160"/>
          </w:tcPr>
          <w:p>
            <w:r>
              <w:t>89 Lakeside Road, Ashland, KY 41101</w:t>
            </w:r>
          </w:p>
        </w:tc>
      </w:tr>
      <w:tr>
        <w:tc>
          <w:tcPr>
            <w:tcW w:type="dxa" w:w="2160"/>
          </w:tcPr>
          <w:p>
            <w:r>
              <w:t>Rohit Nair</w:t>
            </w:r>
          </w:p>
        </w:tc>
        <w:tc>
          <w:tcPr>
            <w:tcW w:type="dxa" w:w="2160"/>
          </w:tcPr>
          <w:p>
            <w:r>
              <w:t>Independent Director</w:t>
            </w:r>
          </w:p>
        </w:tc>
        <w:tc>
          <w:tcPr>
            <w:tcW w:type="dxa" w:w="2160"/>
          </w:tcPr>
          <w:p>
            <w:r>
              <w:t>01217000</w:t>
            </w:r>
          </w:p>
        </w:tc>
        <w:tc>
          <w:tcPr>
            <w:tcW w:type="dxa" w:w="2160"/>
          </w:tcPr>
          <w:p>
            <w:r>
              <w:t>12 Maple Street, Springfield, IL 62701</w:t>
            </w:r>
          </w:p>
        </w:tc>
      </w:tr>
      <w:tr>
        <w:tc>
          <w:tcPr>
            <w:tcW w:type="dxa" w:w="2160"/>
          </w:tcPr>
          <w:p>
            <w:r>
              <w:t>Arjun Reddy</w:t>
            </w:r>
          </w:p>
        </w:tc>
        <w:tc>
          <w:tcPr>
            <w:tcW w:type="dxa" w:w="2160"/>
          </w:tcPr>
          <w:p>
            <w:r>
              <w:t>Independent Director</w:t>
            </w:r>
          </w:p>
        </w:tc>
        <w:tc>
          <w:tcPr>
            <w:tcW w:type="dxa" w:w="2160"/>
          </w:tcPr>
          <w:p>
            <w:r>
              <w:t>10938958</w:t>
            </w:r>
          </w:p>
        </w:tc>
        <w:tc>
          <w:tcPr>
            <w:tcW w:type="dxa" w:w="2160"/>
          </w:tcPr>
          <w:p>
            <w:r>
              <w:t>45 Cedar Avenue, Franklin, TX 75001</w:t>
            </w:r>
          </w:p>
        </w:tc>
      </w:tr>
      <w:tr>
        <w:tc>
          <w:tcPr>
            <w:tcW w:type="dxa" w:w="2160"/>
          </w:tcPr>
          <w:p>
            <w:r>
              <w:t>Karen Lewis</w:t>
            </w:r>
          </w:p>
        </w:tc>
        <w:tc>
          <w:tcPr>
            <w:tcW w:type="dxa" w:w="2160"/>
          </w:tcPr>
          <w:p>
            <w:r>
              <w:t>Independent Director</w:t>
            </w:r>
          </w:p>
        </w:tc>
        <w:tc>
          <w:tcPr>
            <w:tcW w:type="dxa" w:w="2160"/>
          </w:tcPr>
          <w:p>
            <w:r>
              <w:t>05293084</w:t>
            </w:r>
          </w:p>
        </w:tc>
        <w:tc>
          <w:tcPr>
            <w:tcW w:type="dxa" w:w="2160"/>
          </w:tcPr>
          <w:p>
            <w:r>
              <w:t>78 Birch Lane, Georgetown, OH 45121</w:t>
            </w:r>
          </w:p>
        </w:tc>
      </w:tr>
    </w:tbl>
    <w:p>
      <w:pPr>
        <w:pStyle w:val="BodyText"/>
      </w:pPr>
    </w:p>
    <w:p>
      <w:pPr>
        <w:pStyle w:val="BodyText"/>
      </w:pPr>
    </w:p>
    <w:p>
      <w:r>
        <w:t>For brief profiles and further details of our Board of Directors, see “Our Management – Board of Directors” on page 250.</w:t>
      </w:r>
    </w:p>
    <w:p/>
    <w:p>
      <w:pPr>
        <w:pStyle w:val="Heading3"/>
      </w:pPr>
      <w:r>
        <w:t>Company Secretary and Compliance Officer</w:t>
      </w:r>
    </w:p>
    <w:p>
      <w:pPr>
        <w:pStyle w:val="BodyText"/>
      </w:pPr>
      <w:r>
        <w:t>John Doe is our Company Secretary and Compliance Officer. His contact details are as set forth below: Gat No. 11/3, 11/4, 11/5, Village Birdewadi</w:t>
      </w:r>
    </w:p>
    <w:p>
      <w:pPr>
        <w:pStyle w:val="BodyText"/>
      </w:pPr>
      <w:r>
        <w:t>Taluka Khed, District Pune – 410 501</w:t>
      </w:r>
    </w:p>
    <w:p>
      <w:pPr>
        <w:pStyle w:val="BodyText"/>
      </w:pPr>
      <w:r>
        <w:t>Maharashtra, India</w:t>
      </w:r>
    </w:p>
    <w:p>
      <w:r>
        <w:t>Telephone: +91 555000000</w:t>
      </w:r>
    </w:p>
    <w:p>
      <w:pPr>
        <w:pStyle w:val="BodyText"/>
      </w:pPr>
      <w:r>
        <w:t>E-mail: james.miller@example.com</w:t>
      </w:r>
    </w:p>
    <w:p>
      <w:pPr>
        <w:pStyle w:val="Heading3"/>
      </w:pPr>
      <w:r>
        <w:t>Investor grievances</w:t>
      </w:r>
    </w:p>
    <w:p>
      <w:pPr>
        <w:pStyle w:val="BodyText"/>
      </w:pPr>
      <w:r>
        <w:t>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Text"/>
      </w:pP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Text"/>
      </w:pPr>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3"/>
      </w:pPr>
      <w:r>
        <w:t>Book Running Lead Managers</w:t>
      </w:r>
    </w:p>
    <w:p>
      <w:pPr>
        <w:pStyle w:val="BodyText"/>
      </w:pPr>
    </w:p>
    <w:p>
      <w:pPr>
        <w:pStyle w:val="BodyText"/>
      </w:pPr>
    </w:p>
    <w:p>
      <w:r>
        <w:t>Northgate Bank Limited</w:t>
      </w:r>
    </w:p>
    <w:p>
      <w:pPr>
        <w:pStyle w:val="BodyText"/>
      </w:pPr>
      <w:r>
        <w:t>801-804, Wing A, Building No. 3 Inspire BKC G Block, Bandra Kurla Complex</w:t>
      </w:r>
    </w:p>
    <w:p>
      <w:pPr>
        <w:pStyle w:val="BodyText"/>
      </w:pPr>
      <w:r>
        <w:t>23 Oakwood Road, Clinton, KS 67012</w:t>
      </w:r>
    </w:p>
    <w:p>
      <w:r>
        <w:t>Telephone: +91 555000010 Email: priya.sharma@example.com Website: www.nuvama.com</w:t>
      </w:r>
    </w:p>
    <w:p>
      <w:r>
        <w:t>Investor grievance E-mail: anjali.rao@example.com</w:t>
      </w:r>
    </w:p>
    <w:p>
      <w:r>
        <w:t>Contact person: Amit Kumar/ Soumavo Sarkar</w:t>
      </w:r>
    </w:p>
    <w:p>
      <w:r>
        <w:t>SEBI registration no.: INM000013004</w:t>
      </w:r>
    </w:p>
    <w:p/>
    <w:p>
      <w:r>
        <w:t>9 Willow Court, Fairview, CA 90210</w:t>
      </w:r>
    </w:p>
    <w:p>
      <w:r>
        <w:t>Telephone: +91 555000004 Email: emily.davis@example.com Website: www.icicisecurities.com Investor grievance E-mail: neha.verma@example.com</w:t>
      </w:r>
    </w:p>
    <w:p>
      <w:r>
        <w:t>Contact person: Sarah Brown/Abhijit Diwan</w:t>
      </w:r>
    </w:p>
    <w:p>
      <w:r>
        <w:t>SEBI registration no.: INM000011179</w:t>
      </w:r>
    </w:p>
    <w:p/>
    <w:p>
      <w:pPr>
        <w:pStyle w:val="BodyText"/>
      </w:pPr>
    </w:p>
    <w:p>
      <w:pPr>
        <w:pStyle w:val="Heading3"/>
      </w:pPr>
      <w:r>
        <w:t>Statement of inter-se allocation of responsibilities among the BRLMs</w:t>
      </w:r>
    </w:p>
    <w:p>
      <w:pPr>
        <w:pStyle w:val="BodyText"/>
      </w:pPr>
      <w:r>
        <w:t>The responsibilities and coordination by the BRLMs for various activities in the Offer are as follows:</w:t>
      </w:r>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Activities</w:t>
            </w:r>
          </w:p>
        </w:tc>
        <w:tc>
          <w:tcPr>
            <w:tcW w:type="dxa" w:w="2160"/>
          </w:tcPr>
          <w:p>
            <w:r>
              <w:t>Responsibility</w:t>
            </w:r>
          </w:p>
        </w:tc>
        <w:tc>
          <w:tcPr>
            <w:tcW w:type="dxa" w:w="2160"/>
          </w:tcPr>
          <w:p>
            <w:r>
              <w:t>Coordinator</w:t>
            </w:r>
          </w:p>
        </w:tc>
      </w:tr>
      <w:tr>
        <w:tc>
          <w:tcPr>
            <w:tcW w:type="dxa" w:w="2160"/>
          </w:tcPr>
          <w:p>
            <w:r>
              <w:t>1.</w:t>
            </w:r>
          </w:p>
        </w:tc>
        <w:tc>
          <w:tcPr>
            <w:tcW w:type="dxa" w:w="2160"/>
          </w:tcPr>
          <w:p>
            <w: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br/>
              <w:t>Capital structuring with the relative components and formalities such as type of instruments, allocation between primary and secondary, etc.</w:t>
            </w:r>
          </w:p>
        </w:tc>
        <w:tc>
          <w:tcPr>
            <w:tcW w:type="dxa" w:w="2160"/>
          </w:tcPr>
          <w:p>
            <w:r>
              <w:t>BRLMs</w:t>
            </w:r>
          </w:p>
        </w:tc>
        <w:tc>
          <w:tcPr>
            <w:tcW w:type="dxa" w:w="2160"/>
          </w:tcPr>
          <w:p>
            <w:r>
              <w:t>Nuvama</w:t>
            </w:r>
          </w:p>
        </w:tc>
      </w:tr>
      <w:tr>
        <w:tc>
          <w:tcPr>
            <w:tcW w:type="dxa" w:w="2160"/>
          </w:tcPr>
          <w:p>
            <w:r>
              <w:t>2.</w:t>
            </w:r>
          </w:p>
        </w:tc>
        <w:tc>
          <w:tcPr>
            <w:tcW w:type="dxa" w:w="2160"/>
          </w:tcPr>
          <w:p>
            <w:r>
              <w:t>Drafting and approval of statutory advertisements</w:t>
            </w:r>
          </w:p>
        </w:tc>
        <w:tc>
          <w:tcPr>
            <w:tcW w:type="dxa" w:w="2160"/>
          </w:tcPr>
          <w:p>
            <w:r>
              <w:t>BRLMs</w:t>
            </w:r>
          </w:p>
        </w:tc>
        <w:tc>
          <w:tcPr>
            <w:tcW w:type="dxa" w:w="2160"/>
          </w:tcPr>
          <w:p>
            <w:r>
              <w:t>Nuvama</w:t>
            </w:r>
          </w:p>
        </w:tc>
      </w:tr>
    </w:tbl>
    <w:p>
      <w:pPr>
        <w:pStyle w:val="BodyText"/>
      </w:pPr>
    </w:p>
    <w:p/>
    <w:p>
      <w:pPr>
        <w:pStyle w:val="BodyText"/>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Activities</w:t>
            </w:r>
          </w:p>
        </w:tc>
        <w:tc>
          <w:tcPr>
            <w:tcW w:type="dxa" w:w="2160"/>
          </w:tcPr>
          <w:p>
            <w:r>
              <w:t>Responsibility</w:t>
            </w:r>
          </w:p>
        </w:tc>
        <w:tc>
          <w:tcPr>
            <w:tcW w:type="dxa" w:w="2160"/>
          </w:tcPr>
          <w:p>
            <w:r>
              <w:t>Coordinator</w:t>
            </w:r>
          </w:p>
        </w:tc>
      </w:tr>
      <w:tr>
        <w:tc>
          <w:tcPr>
            <w:tcW w:type="dxa" w:w="2160"/>
          </w:tcPr>
          <w:p>
            <w:r>
              <w:t>3.</w:t>
            </w:r>
          </w:p>
        </w:tc>
        <w:tc>
          <w:tcPr>
            <w:tcW w:type="dxa" w:w="2160"/>
          </w:tcPr>
          <w:p>
            <w:r>
              <w:t>Drafting and approval of all publicity material other than statutory advertisement as mentioned above including corporate advertising, brochure, etc. and filing of media</w:t>
              <w:br/>
              <w:t>compliance report with SEBI</w:t>
            </w:r>
          </w:p>
        </w:tc>
        <w:tc>
          <w:tcPr>
            <w:tcW w:type="dxa" w:w="2160"/>
          </w:tcPr>
          <w:p>
            <w:r>
              <w:t>BRLMs</w:t>
            </w:r>
          </w:p>
        </w:tc>
        <w:tc>
          <w:tcPr>
            <w:tcW w:type="dxa" w:w="2160"/>
          </w:tcPr>
          <w:p>
            <w:r>
              <w:t>I-Sec</w:t>
            </w:r>
          </w:p>
        </w:tc>
      </w:tr>
      <w:tr>
        <w:tc>
          <w:tcPr>
            <w:tcW w:type="dxa" w:w="2160"/>
          </w:tcPr>
          <w:p>
            <w:r>
              <w:t>4.</w:t>
            </w:r>
          </w:p>
        </w:tc>
        <w:tc>
          <w:tcPr>
            <w:tcW w:type="dxa" w:w="2160"/>
          </w:tcPr>
          <w:p>
            <w:r>
              <w:t>Appointment of all other intermediaries (e.g., Registrar(s), Printer(s), Monitoring Agency, Banker(s) to the Issue and Sponsor Banker to the Issue, Advertising agency</w:t>
              <w:br/>
              <w:t>etc.) including coordinating all agreements to be entered with such parties</w:t>
            </w:r>
          </w:p>
        </w:tc>
        <w:tc>
          <w:tcPr>
            <w:tcW w:type="dxa" w:w="2160"/>
          </w:tcPr>
          <w:p>
            <w:r>
              <w:t>BRLMs</w:t>
            </w:r>
          </w:p>
        </w:tc>
        <w:tc>
          <w:tcPr>
            <w:tcW w:type="dxa" w:w="2160"/>
          </w:tcPr>
          <w:p>
            <w:r>
              <w:t>Nuvama</w:t>
            </w:r>
          </w:p>
        </w:tc>
      </w:tr>
      <w:tr>
        <w:tc>
          <w:tcPr>
            <w:tcW w:type="dxa" w:w="2160"/>
          </w:tcPr>
          <w:p>
            <w:r>
              <w:t>5.</w:t>
            </w:r>
          </w:p>
        </w:tc>
        <w:tc>
          <w:tcPr>
            <w:tcW w:type="dxa" w:w="2160"/>
          </w:tcPr>
          <w:p>
            <w:r>
              <w:t>Preparation of road show presentation and frequently asked questions</w:t>
            </w:r>
          </w:p>
        </w:tc>
        <w:tc>
          <w:tcPr>
            <w:tcW w:type="dxa" w:w="2160"/>
          </w:tcPr>
          <w:p>
            <w:r>
              <w:t>BRLMs</w:t>
            </w:r>
          </w:p>
        </w:tc>
        <w:tc>
          <w:tcPr>
            <w:tcW w:type="dxa" w:w="2160"/>
          </w:tcPr>
          <w:p>
            <w:r>
              <w:t>I-Sec</w:t>
            </w:r>
          </w:p>
        </w:tc>
      </w:tr>
      <w:tr>
        <w:tc>
          <w:tcPr>
            <w:tcW w:type="dxa" w:w="2160"/>
          </w:tcPr>
          <w:p>
            <w:r>
              <w:t>6.</w:t>
            </w:r>
          </w:p>
        </w:tc>
        <w:tc>
          <w:tcPr>
            <w:tcW w:type="dxa" w:w="2160"/>
          </w:tcPr>
          <w:p>
            <w:r>
              <w:t>International Institutional Marketing of the Issue, which will cover, inter alia:</w:t>
              <w:br/>
              <w:t>Marketing strategy</w:t>
              <w:br/>
              <w:t>Finalising the list and division of international investors for one-to-one meetings and</w:t>
              <w:br/>
              <w:t>Finalizing road show and investor meeting schedules</w:t>
            </w:r>
          </w:p>
        </w:tc>
        <w:tc>
          <w:tcPr>
            <w:tcW w:type="dxa" w:w="2160"/>
          </w:tcPr>
          <w:p>
            <w:r>
              <w:t>BRLMs</w:t>
            </w:r>
          </w:p>
        </w:tc>
        <w:tc>
          <w:tcPr>
            <w:tcW w:type="dxa" w:w="2160"/>
          </w:tcPr>
          <w:p>
            <w:r>
              <w:t>I-Sec</w:t>
            </w:r>
          </w:p>
        </w:tc>
      </w:tr>
      <w:tr>
        <w:tc>
          <w:tcPr>
            <w:tcW w:type="dxa" w:w="2160"/>
          </w:tcPr>
          <w:p>
            <w:r>
              <w:t>7.</w:t>
            </w:r>
          </w:p>
        </w:tc>
        <w:tc>
          <w:tcPr>
            <w:tcW w:type="dxa" w:w="2160"/>
          </w:tcPr>
          <w:p>
            <w:r>
              <w:t>Domestic Institutional Marketing of the Issue, which will cover, inter alia:</w:t>
              <w:br/>
              <w:t>Finalising the list and division of domestic investors for one-to-one meetings</w:t>
              <w:br/>
              <w:t>Finalizing domestic road show schedules and investor meeting schedules</w:t>
            </w:r>
          </w:p>
        </w:tc>
        <w:tc>
          <w:tcPr>
            <w:tcW w:type="dxa" w:w="2160"/>
          </w:tcPr>
          <w:p>
            <w:r>
              <w:t>BRLMs</w:t>
            </w:r>
          </w:p>
        </w:tc>
        <w:tc>
          <w:tcPr>
            <w:tcW w:type="dxa" w:w="2160"/>
          </w:tcPr>
          <w:p>
            <w:r>
              <w:t>Nuvama</w:t>
            </w:r>
          </w:p>
        </w:tc>
      </w:tr>
      <w:tr>
        <w:tc>
          <w:tcPr>
            <w:tcW w:type="dxa" w:w="2160"/>
          </w:tcPr>
          <w:p>
            <w:r>
              <w:t>8.</w:t>
            </w:r>
          </w:p>
        </w:tc>
        <w:tc>
          <w:tcPr>
            <w:tcW w:type="dxa" w:w="2160"/>
          </w:tcPr>
          <w:p>
            <w:r>
              <w:t>Non-institutional marketing of the Issue, which will cover, inter alia,</w:t>
              <w:br/>
              <w:t>Finalising media, marketing and public relations strategy including list of frequently asked questions at non-institutional road shows; and</w:t>
              <w:br/>
              <w:t>Finalising centres for holding conferences for brokers, etc.;</w:t>
            </w:r>
          </w:p>
        </w:tc>
        <w:tc>
          <w:tcPr>
            <w:tcW w:type="dxa" w:w="2160"/>
          </w:tcPr>
          <w:p>
            <w:r>
              <w:t>BRLMs</w:t>
            </w:r>
          </w:p>
        </w:tc>
        <w:tc>
          <w:tcPr>
            <w:tcW w:type="dxa" w:w="2160"/>
          </w:tcPr>
          <w:p>
            <w:r>
              <w:t>Nuvama</w:t>
            </w:r>
          </w:p>
        </w:tc>
      </w:tr>
      <w:tr>
        <w:tc>
          <w:tcPr>
            <w:tcW w:type="dxa" w:w="2160"/>
          </w:tcPr>
          <w:p>
            <w:r>
              <w:t>9.</w:t>
            </w:r>
          </w:p>
        </w:tc>
        <w:tc>
          <w:tcPr>
            <w:tcW w:type="dxa" w:w="2160"/>
          </w:tcPr>
          <w:p>
            <w:r>
              <w:t>Retail Marketing of the Issue, which will cover, inter alia,</w:t>
              <w:br/>
              <w:t>Formulating marketing strategies, preparation of publicity budget</w:t>
              <w:br/>
              <w:t>Finalizing Media and PR strategy</w:t>
              <w:br/>
              <w:t>Finalizing centres for holding conferences for brokers, etc.</w:t>
              <w:br/>
              <w:t>Finalizing collection centres; and</w:t>
              <w:br/>
              <w:t>Follow-up on distribution of publicity and Issue material including application form, prospectus and deciding on the quantum of the Issue material</w:t>
            </w:r>
          </w:p>
        </w:tc>
        <w:tc>
          <w:tcPr>
            <w:tcW w:type="dxa" w:w="2160"/>
          </w:tcPr>
          <w:p>
            <w:r>
              <w:t>BRLMs</w:t>
            </w:r>
          </w:p>
        </w:tc>
        <w:tc>
          <w:tcPr>
            <w:tcW w:type="dxa" w:w="2160"/>
          </w:tcPr>
          <w:p>
            <w:r>
              <w:t>I-Sec</w:t>
            </w:r>
          </w:p>
        </w:tc>
      </w:tr>
      <w:tr>
        <w:tc>
          <w:tcPr>
            <w:tcW w:type="dxa" w:w="2160"/>
          </w:tcPr>
          <w:p>
            <w:r>
              <w:t>10.</w:t>
            </w:r>
          </w:p>
        </w:tc>
        <w:tc>
          <w:tcPr>
            <w:tcW w:type="dxa" w:w="2160"/>
          </w:tcPr>
          <w:p>
            <w:r>
              <w:t>Coordination with Stock-Exchanges for book building software, bidding terminals, mock trading, anchor coordination, anchor CAN and intimation of anchor allocation</w:t>
            </w:r>
          </w:p>
        </w:tc>
        <w:tc>
          <w:tcPr>
            <w:tcW w:type="dxa" w:w="2160"/>
          </w:tcPr>
          <w:p>
            <w:r>
              <w:t>BRLMs</w:t>
            </w:r>
          </w:p>
        </w:tc>
        <w:tc>
          <w:tcPr>
            <w:tcW w:type="dxa" w:w="2160"/>
          </w:tcPr>
          <w:p>
            <w:r>
              <w:t>I-Sec</w:t>
            </w:r>
          </w:p>
        </w:tc>
      </w:tr>
      <w:tr>
        <w:tc>
          <w:tcPr>
            <w:tcW w:type="dxa" w:w="2160"/>
          </w:tcPr>
          <w:p>
            <w:r>
              <w:t>11.</w:t>
            </w:r>
          </w:p>
        </w:tc>
        <w:tc>
          <w:tcPr>
            <w:tcW w:type="dxa" w:w="2160"/>
          </w:tcPr>
          <w:p>
            <w:r>
              <w:t>Managing the book and finalization of pricing in consultation with the Company</w:t>
            </w:r>
          </w:p>
        </w:tc>
        <w:tc>
          <w:tcPr>
            <w:tcW w:type="dxa" w:w="2160"/>
          </w:tcPr>
          <w:p>
            <w:r>
              <w:t>BRLMs</w:t>
            </w:r>
          </w:p>
        </w:tc>
        <w:tc>
          <w:tcPr>
            <w:tcW w:type="dxa" w:w="2160"/>
          </w:tcPr>
          <w:p>
            <w:r>
              <w:t>I-Sec</w:t>
            </w:r>
          </w:p>
        </w:tc>
      </w:tr>
      <w:tr>
        <w:tc>
          <w:tcPr>
            <w:tcW w:type="dxa" w:w="2160"/>
          </w:tcPr>
          <w:p>
            <w:r>
              <w:t>12.</w:t>
            </w:r>
          </w:p>
        </w:tc>
        <w:tc>
          <w:tcPr>
            <w:tcW w:type="dxa" w:w="2160"/>
          </w:tcPr>
          <w:p>
            <w: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br/>
              <w:t>Coordinating with Stock Exchanges and SEBI for submission of all post-Issue reports including the initial and final post-Issue report to SEBI.</w:t>
            </w:r>
          </w:p>
        </w:tc>
        <w:tc>
          <w:tcPr>
            <w:tcW w:type="dxa" w:w="2160"/>
          </w:tcPr>
          <w:p>
            <w:r>
              <w:t>BRLMs</w:t>
            </w:r>
          </w:p>
        </w:tc>
        <w:tc>
          <w:tcPr>
            <w:tcW w:type="dxa" w:w="2160"/>
          </w:tcPr>
          <w:p>
            <w:r>
              <w:t>I-Sec</w:t>
            </w:r>
          </w:p>
        </w:tc>
      </w:tr>
    </w:tbl>
    <w:p>
      <w:pPr>
        <w:pStyle w:val="BodyText"/>
      </w:pPr>
    </w:p>
    <w:p>
      <w:pPr>
        <w:pStyle w:val="Heading3"/>
      </w:pPr>
      <w:r>
        <w:t>Syndicate Members</w:t>
      </w:r>
    </w:p>
    <w:p>
      <w:r>
        <w:t>Northgate Bank Limited</w:t>
      </w:r>
    </w:p>
    <w:p>
      <w:pPr>
        <w:pStyle w:val="BodyText"/>
      </w:pPr>
      <w:r>
        <w:t>801-804, Wing A, Building No 3 Inspire BKC, G Block</w:t>
      </w:r>
    </w:p>
    <w:p>
      <w:pPr>
        <w:pStyle w:val="BodyText"/>
      </w:pPr>
      <w:r>
        <w:t>Bandra Kurla Complex, Bandra East Mumbai 400 051</w:t>
      </w:r>
    </w:p>
    <w:p>
      <w:pPr>
        <w:pStyle w:val="BodyText"/>
      </w:pPr>
      <w:r>
        <w:t>Maharashtra, India</w:t>
      </w:r>
    </w:p>
    <w:p>
      <w:r>
        <w:t>Telephone: +91 555000013</w:t>
      </w:r>
    </w:p>
    <w:p>
      <w:pPr>
        <w:pStyle w:val="BodyText"/>
      </w:pPr>
      <w:r>
        <w:t>Email: priya.sharma@example.com, sunita.menon@example.com, and daniel.garcia@example.com</w:t>
      </w:r>
    </w:p>
    <w:p>
      <w:r>
        <w:t>Website: www.nuvama.com</w:t>
      </w:r>
    </w:p>
    <w:p>
      <w:r>
        <w:t>Contact Person: Vikram Joshi</w:t>
      </w:r>
    </w:p>
    <w:p>
      <w:r>
        <w:t>SEBI Registration Number: INZ000166136</w:t>
      </w:r>
    </w:p>
    <w:p>
      <w:pPr>
        <w:pStyle w:val="BodyText"/>
      </w:pPr>
    </w:p>
    <w:p>
      <w:r>
        <w:t>9 Willow Court, Fairview, CA 90210</w:t>
      </w:r>
    </w:p>
    <w:p>
      <w:r>
        <w:t>Telephone: +91 555000004 Email: emily.davis@example.com Website: www.icicisecurities.com</w:t>
      </w:r>
    </w:p>
    <w:p>
      <w:r>
        <w:t>Investor grievance E-mail: neha.verma@example.com</w:t>
      </w:r>
    </w:p>
    <w:p>
      <w:r>
        <w:t>Contact person: Sarah Brown/Abhijit Diwan</w:t>
      </w:r>
    </w:p>
    <w:p/>
    <w:p>
      <w:r>
        <w:t>SEBI registration no.: INM000011179</w:t>
      </w:r>
    </w:p>
    <w:p>
      <w:pPr>
        <w:pStyle w:val="Heading3"/>
      </w:pPr>
      <w:r>
        <w:t>Legal Counsel to our Company as to Indian Law Trilegal</w:t>
      </w:r>
    </w:p>
    <w:p>
      <w:pPr>
        <w:pStyle w:val="BodyText"/>
      </w:pPr>
      <w:r>
        <w:t>One World Centre</w:t>
      </w:r>
    </w:p>
    <w:p>
      <w:pPr>
        <w:pStyle w:val="BodyText"/>
      </w:pPr>
      <w:r>
        <w:t>10th Floor, Tower 2A &amp; 2B</w:t>
      </w:r>
    </w:p>
    <w:p>
      <w:pPr>
        <w:pStyle w:val="BodyText"/>
      </w:pPr>
      <w:r>
        <w:t>Senapati Bapat Marg, Lower Parel (West) Mumbai – 400 013</w:t>
      </w:r>
    </w:p>
    <w:p>
      <w:pPr>
        <w:pStyle w:val="BodyText"/>
      </w:pPr>
      <w:r>
        <w:t>Maharashtra, India</w:t>
      </w:r>
    </w:p>
    <w:p>
      <w:r>
        <w:t>Email: steven.clark@example.com</w:t>
      </w:r>
    </w:p>
    <w:p>
      <w:r>
        <w:t>Telephone: +91 555000017</w:t>
      </w:r>
    </w:p>
    <w:p>
      <w:pPr>
        <w:pStyle w:val="BodyText"/>
      </w:pPr>
    </w:p>
    <w:p>
      <w:pPr>
        <w:pStyle w:val="Heading3"/>
      </w:pPr>
      <w:r>
        <w:t>Registrar to the Offer</w:t>
      </w:r>
    </w:p>
    <w:p>
      <w:r>
        <w:t>Meridian Auto Components Limited (Lighthouse Foods Private Limited) C-101, Embassy 247</w:t>
      </w:r>
    </w:p>
    <w:p>
      <w:pPr>
        <w:pStyle w:val="BodyText"/>
      </w:pPr>
      <w:r>
        <w:t>56 Elmwood Drive, Salem, OR 97301), India Telephone: +91 555000007</w:t>
      </w:r>
    </w:p>
    <w:p>
      <w:pPr>
        <w:pStyle w:val="BodyText"/>
      </w:pPr>
      <w:r>
        <w:t>E-mail: amit.kumar@example.com</w:t>
      </w:r>
    </w:p>
    <w:p>
      <w:r>
        <w:t>Investor grievance E-mail: amit.kumar@example.com</w:t>
      </w:r>
    </w:p>
    <w:p>
      <w:r>
        <w:t>Website: www.in.mpms.mufg.com Contact Person: Shanti Gopalkrishnan SEBI Registration No.: INR000004058</w:t>
      </w:r>
    </w:p>
    <w:p>
      <w:pPr>
        <w:pStyle w:val="BodyText"/>
      </w:pPr>
      <w:r>
        <w:t>URL of SEBI website: www.sebi.gov.in/sebiweb/other/OtherAction.do?doRecognisedFpi=yes&amp;intmId=10</w:t>
      </w:r>
    </w:p>
    <w:p>
      <w:pPr>
        <w:pStyle w:val="BodyText"/>
      </w:pPr>
      <w:r>
        <w:t>CIN: U67190MH1999PTC118368</w:t>
      </w:r>
    </w:p>
    <w:p>
      <w:r>
        <w:t>Bankers to the Pinnacle Steel Limited</w:t>
      </w:r>
    </w:p>
    <w:p>
      <w:pPr>
        <w:pStyle w:val="BodyText"/>
      </w:pPr>
      <w:r>
        <w:t>Meridian Auto Components Limited, FIG-OPS Department – Lodha I Think Techno Campus, O-3 Level</w:t>
      </w:r>
    </w:p>
    <w:p>
      <w:pPr>
        <w:pStyle w:val="BodyText"/>
      </w:pPr>
      <w:r>
        <w:t>34 Pinehill Street, Madison, WI 53701</w:t>
      </w:r>
    </w:p>
    <w:p>
      <w:pPr>
        <w:pStyle w:val="BodyText"/>
      </w:pPr>
      <w:r>
        <w:t>Telephone: +91 555000020, +91 555000019 and +91 555000018</w:t>
      </w:r>
    </w:p>
    <w:p>
      <w:pPr>
        <w:pStyle w:val="BodyText"/>
      </w:pPr>
      <w:r>
        <w:t>Email: meera.bhatt@example.com, kevin.hall@example.com deepa.pillai@example.com, nancy.walker@example.com, and vikram.joshi@example.com Website: www.hdfcbank.com</w:t>
      </w:r>
    </w:p>
    <w:p>
      <w:pPr>
        <w:pStyle w:val="BodyText"/>
      </w:pPr>
      <w:r>
        <w:t>Contact Person: Nancy Walker/ Sachin Gawade/ Pravin Teli/ Siddharth Jadhav/ Tushar Gavankar</w:t>
      </w:r>
    </w:p>
    <w:p>
      <w:r>
        <w:t>SEBI Registration No: INBI00000063</w:t>
      </w:r>
    </w:p>
    <w:p>
      <w:pPr>
        <w:pStyle w:val="BodyText"/>
      </w:pPr>
      <w:r>
        <w:t>CIN: L65920MH1994PLC080618</w:t>
      </w:r>
    </w:p>
    <w:p>
      <w:pPr>
        <w:pStyle w:val="BodyText"/>
      </w:pPr>
    </w:p>
    <w:p>
      <w:r>
        <w:t>Public Offer Account Bank</w:t>
      </w:r>
    </w:p>
    <w:p>
      <w:pPr>
        <w:pStyle w:val="Heading3"/>
      </w:pPr>
      <w:r>
        <w:t>Oakridge Pharma LLP</w:t>
      </w:r>
    </w:p>
    <w:p>
      <w:pPr>
        <w:pStyle w:val="BodyText"/>
      </w:pPr>
      <w:r>
        <w:t>Capital Market Division</w:t>
      </w:r>
    </w:p>
    <w:p>
      <w:r>
        <w:t>163, 5th Floor, H.T.Parekh Marg Backbay Reclamation Churchgate, Mumbai – 400020 Telephone: (555) 000-027 Email: brian.allen@example.com Website: www.icicibank.com Contact Person: Deepa Pillai</w:t>
      </w:r>
    </w:p>
    <w:p>
      <w:r>
        <w:t>SEBI Registration No: INBI00000004</w:t>
      </w:r>
    </w:p>
    <w:p>
      <w:pPr>
        <w:pStyle w:val="BodyText"/>
      </w:pPr>
      <w:r>
        <w:t>CIN: L65190GJ1994PLC021012</w:t>
      </w:r>
    </w:p>
    <w:p>
      <w:pPr>
        <w:pStyle w:val="BodyText"/>
      </w:pPr>
    </w:p>
    <w:p>
      <w:pPr>
        <w:pStyle w:val="Heading3"/>
      </w:pPr>
      <w:r>
        <w:t>Meridian Auto Components Limited</w:t>
      </w:r>
    </w:p>
    <w:p>
      <w:pPr>
        <w:pStyle w:val="BodyText"/>
      </w:pPr>
      <w:r>
        <w:t>Meridian Auto Components Limited, FIG-OPS Department – Lodha I Think Techno Campus, O-3 Level</w:t>
      </w:r>
    </w:p>
    <w:p>
      <w:pPr>
        <w:pStyle w:val="BodyText"/>
      </w:pPr>
      <w:r>
        <w:t>34 Pinehill Street, Madison, WI 53701</w:t>
      </w:r>
    </w:p>
    <w:p>
      <w:pPr>
        <w:pStyle w:val="BodyText"/>
      </w:pPr>
      <w:r>
        <w:t>Telephone: +91 555000020, +91 555000019 and +91 555000018</w:t>
      </w:r>
    </w:p>
    <w:p>
      <w:pPr>
        <w:pStyle w:val="BodyText"/>
      </w:pPr>
      <w:r>
        <w:t>Email: meera.bhatt@example.com, kevin.hall@example.com deepa.pillai@example.com, nancy.walker@example.com, and vikram.joshi@example.com Website: www.hdfcbank.com</w:t>
      </w:r>
    </w:p>
    <w:p>
      <w:pPr>
        <w:pStyle w:val="BodyText"/>
      </w:pPr>
      <w:r>
        <w:t>Contact Person: Nancy Walker/ Sachin Gawade/ Pravin Teli/ Siddharth Jadhav/ Tushar Gavankar</w:t>
      </w:r>
    </w:p>
    <w:p>
      <w:r>
        <w:t>SEBI Registration No: INBI00000063</w:t>
      </w:r>
    </w:p>
    <w:p>
      <w:pPr>
        <w:pStyle w:val="BodyText"/>
      </w:pPr>
      <w:r>
        <w:t>CIN: L65920MH1994PLC080618</w:t>
      </w:r>
    </w:p>
    <w:p>
      <w:pPr>
        <w:pStyle w:val="BodyText"/>
      </w:pPr>
    </w:p>
    <w:p>
      <w:r>
        <w:t>Sponsor Banks</w:t>
      </w:r>
    </w:p>
    <w:p>
      <w:pPr>
        <w:pStyle w:val="Heading3"/>
      </w:pPr>
      <w:r>
        <w:t>Oakridge Pharma LLP</w:t>
      </w:r>
    </w:p>
    <w:p>
      <w:pPr>
        <w:pStyle w:val="BodyText"/>
      </w:pPr>
      <w:r>
        <w:t>Capital Market Division</w:t>
      </w:r>
    </w:p>
    <w:p>
      <w:r>
        <w:t>163, 5th Floor, H.T.Parekh Marg Backbay Reclamation Churchgate, Mumbai – 400020 Telephone: (555) 000-027 Email: brian.allen@example.com Website: www.icicibank.com Contact Person: Deepa Pillai</w:t>
      </w:r>
    </w:p>
    <w:p>
      <w:r>
        <w:t>SEBI Registration No: INBI00000004</w:t>
      </w:r>
    </w:p>
    <w:p>
      <w:pPr>
        <w:pStyle w:val="BodyText"/>
      </w:pPr>
      <w:r>
        <w:t>CIN: L65190GJ1994PLC021012</w:t>
      </w:r>
    </w:p>
    <w:p>
      <w:pPr>
        <w:pStyle w:val="Heading3"/>
      </w:pPr>
      <w:r>
        <w:t>Meridian Auto Components Limited</w:t>
      </w:r>
    </w:p>
    <w:p>
      <w:pPr>
        <w:pStyle w:val="BodyText"/>
      </w:pPr>
      <w:r>
        <w:t>Meridian Auto Components Limited, FIG-OPS Department – Lodha I Think Techno Campus, O-3 Level</w:t>
      </w:r>
    </w:p>
    <w:p>
      <w:pPr>
        <w:pStyle w:val="BodyText"/>
      </w:pPr>
      <w:r>
        <w:t>34 Pinehill Street, Madison, WI 53701</w:t>
      </w:r>
    </w:p>
    <w:p>
      <w:pPr>
        <w:pStyle w:val="BodyText"/>
      </w:pPr>
      <w:r>
        <w:t>Telephone: +91 555000020, +91 555000019 and +91 555000018</w:t>
      </w:r>
    </w:p>
    <w:p>
      <w:pPr>
        <w:pStyle w:val="BodyText"/>
      </w:pPr>
      <w:r>
        <w:t>Email: meera.bhatt@example.com, kevin.hall@example.com deepa.pillai@example.com, nancy.walker@example.com, and vikram.joshi@example.com Website: www.hdfcbank.com</w:t>
      </w:r>
    </w:p>
    <w:p>
      <w:pPr>
        <w:pStyle w:val="BodyText"/>
      </w:pPr>
      <w:r>
        <w:t>Contact Person: Nancy Walker/ Sachin Gawade/ Pravin Teli/ Siddharth Jadhav/ Tushar Gavankar</w:t>
      </w:r>
    </w:p>
    <w:p>
      <w:r>
        <w:t>SEBI Registration No: INBI00000063</w:t>
      </w:r>
    </w:p>
    <w:p>
      <w:pPr>
        <w:pStyle w:val="BodyText"/>
      </w:pPr>
      <w:r>
        <w:t>CIN: L65920MH1994PLC080618</w:t>
      </w:r>
    </w:p>
    <w:p>
      <w:pPr>
        <w:pStyle w:val="BodyText"/>
      </w:pPr>
    </w:p>
    <w:p>
      <w:pPr>
        <w:pStyle w:val="Heading3"/>
      </w:pPr>
      <w:r>
        <w:t>Designated Intermediaries</w:t>
      </w:r>
    </w:p>
    <w:p>
      <w:pPr>
        <w:pStyle w:val="Heading4"/>
      </w:pPr>
      <w:r>
        <w:t>Self-Certified Syndicate Banks</w:t>
      </w:r>
    </w:p>
    <w:p>
      <w:pPr>
        <w:pStyle w:val="BodyText"/>
      </w:pPr>
      <w: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w:t>
        <w:tab/>
        <w:t>Application</w:t>
        <w:tab/>
        <w:t>Forms,</w:t>
        <w:tab/>
        <w:t>is</w:t>
        <w:tab/>
        <w:t>available</w:t>
        <w:tab/>
        <w:t>at https://www.sebi.gov.in/sebiweb/other/OtherAction.do?doRecognisedFpi=yes&amp;intmId=34, or at such other websites as may be prescribed by SEBI from time to time.</w:t>
      </w:r>
    </w:p>
    <w:p>
      <w:pPr>
        <w:pStyle w:val="Heading4"/>
      </w:pPr>
      <w:r>
        <w:t>Eligible SCSBs and mobile applications enabled for UPI Mechanism</w:t>
      </w:r>
    </w:p>
    <w:p>
      <w:pPr>
        <w:pStyle w:val="BodyText"/>
      </w:pPr>
      <w:r>
        <w:t>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Text"/>
      </w:pPr>
    </w:p>
    <w:p>
      <w:pPr>
        <w:pStyle w:val="BodyText"/>
      </w:pPr>
      <w:r>
        <w:t>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pPr>
        <w:pStyle w:val="Heading4"/>
      </w:pPr>
      <w:r>
        <w:t>Registered Brokers</w:t>
      </w:r>
    </w:p>
    <w:p>
      <w:pPr>
        <w:pStyle w:val="BodyText"/>
      </w:pPr>
      <w:r>
        <w:t>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w:t>
      </w:r>
    </w:p>
    <w:p>
      <w:pPr>
        <w:pStyle w:val="Heading4"/>
      </w:pPr>
      <w:r>
        <w:t>Registrar and Share Transfer Agents</w:t>
      </w:r>
    </w:p>
    <w:p>
      <w:pPr>
        <w:pStyle w:val="BodyText"/>
      </w:pPr>
      <w:r>
        <w:t>The list of the RTAs eligible to accept ASBA Forms at the Designated RTA Locations,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4"/>
      </w:pPr>
      <w:r>
        <w:t>Collecting Depository Participants</w:t>
      </w:r>
    </w:p>
    <w:p>
      <w:pPr>
        <w:pStyle w:val="BodyText"/>
      </w:pPr>
      <w:r>
        <w:t>The list of the CDPs eligible to accept ASBA Forms at the Designated CDP Locations, including details such as their name and contact details, is provided on the websites of the Stock Exchanges at https://www.bseindia.com/Static/PublicIssues/RtaDp.aspx</w:t>
        <w:tab/>
        <w:t>and</w:t>
      </w:r>
    </w:p>
    <w:p>
      <w:pPr>
        <w:pStyle w:val="BodyText"/>
      </w:pPr>
      <w:r>
        <w:t>https://www.nseindia.com/products/content/equities/ipos/asba_procedures.htm, respectively, as updated from time to time.</w:t>
      </w:r>
    </w:p>
    <w:p>
      <w:pPr>
        <w:pStyle w:val="Heading3"/>
      </w:pPr>
      <w:r>
        <w:t>Experts</w:t>
      </w:r>
    </w:p>
    <w:p>
      <w:pPr>
        <w:pStyle w:val="BodyText"/>
      </w:pPr>
      <w:r>
        <w:t>Except as stated below, our Company has not obtained any expert opinions:</w:t>
      </w:r>
    </w:p>
    <w:p>
      <w:pPr>
        <w:pStyle w:val="BodyText"/>
      </w:pPr>
      <w:r>
        <w:t>Our Company has received the written consent dated November 27, 2025 from our Statutory Auditors, Kirtane &amp; Quantum Softech Private Limited,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Text"/>
      </w:pPr>
      <w:r>
        <w:t>Our Company has received written consent dated November 27, 2025 from Lalit Muljibhai Sarvaiya,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Text"/>
      </w:pPr>
      <w:r>
        <w:t>Our Company has received written consent dated December 10, 2025 from Kanj &amp; Riverside Exports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BodyText"/>
      </w:pPr>
    </w:p>
    <w:p>
      <w:pPr>
        <w:pStyle w:val="Heading3"/>
      </w:pPr>
      <w:r>
        <w:t>Statutory Auditors to our Company</w:t>
      </w:r>
    </w:p>
    <w:p>
      <w:r>
        <w:t>Kirtane &amp; Quantum Softech Private Limited, Chartered Accountants</w:t>
      </w:r>
    </w:p>
    <w:p>
      <w:pPr>
        <w:pStyle w:val="BodyText"/>
      </w:pPr>
      <w:r>
        <w:t>5th Floor, Wing A, Gopal House</w:t>
      </w:r>
    </w:p>
    <w:p>
      <w:pPr>
        <w:pStyle w:val="BodyText"/>
      </w:pPr>
      <w:r>
        <w:t>S. No. 127/1B/1, Plot A1 Opp Harshal Hall Kothrud</w:t>
      </w:r>
    </w:p>
    <w:p>
      <w:pPr>
        <w:pStyle w:val="BodyText"/>
      </w:pPr>
      <w:r>
        <w:t>Pune – 411 038</w:t>
      </w:r>
    </w:p>
    <w:p>
      <w:pPr>
        <w:pStyle w:val="BodyText"/>
      </w:pPr>
      <w:r>
        <w:t>Maharashtra, India</w:t>
      </w:r>
    </w:p>
    <w:p>
      <w:pPr>
        <w:pStyle w:val="BodyText"/>
      </w:pPr>
      <w:r>
        <w:t>E-mail: sanjay.desai@example.com</w:t>
      </w:r>
    </w:p>
    <w:p>
      <w:r>
        <w:t>Telephone: + 91 (20) 6729 5100</w:t>
      </w:r>
    </w:p>
    <w:p>
      <w:r>
        <w:t>Firm registration number: 105215W/ W100057</w:t>
      </w:r>
    </w:p>
    <w:p>
      <w:r>
        <w:t>Peer review number: 014680</w:t>
      </w:r>
    </w:p>
    <w:p>
      <w:pPr>
        <w:pStyle w:val="Heading3"/>
      </w:pPr>
      <w:r>
        <w:t>Changes in Auditors</w:t>
      </w:r>
    </w:p>
    <w:p>
      <w:pPr>
        <w:pStyle w:val="BodyText"/>
      </w:pPr>
      <w:r>
        <w:t>Except as stated below, there has been no change in our statutory auditors in the three years preceding the date of this Red Herring Prospectus:</w:t>
      </w:r>
    </w:p>
    <w:p>
      <w:pPr>
        <w:pStyle w:val="BodyText"/>
      </w:pP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Date of change</w:t>
            </w:r>
          </w:p>
        </w:tc>
        <w:tc>
          <w:tcPr>
            <w:tcW w:type="dxa" w:w="2880"/>
          </w:tcPr>
          <w:p>
            <w:r>
              <w:t>Reasons for change</w:t>
            </w:r>
          </w:p>
        </w:tc>
      </w:tr>
      <w:tr>
        <w:tc>
          <w:tcPr>
            <w:tcW w:type="dxa" w:w="2880"/>
          </w:tcPr>
          <w:p>
            <w:r>
              <w:t>Kirtane &amp; Quantum Softech Private Limited, Chartered Accountants</w:t>
              <w:br/>
              <w:t>5th Floor, Gopal House</w:t>
              <w:br/>
              <w:t>Opposite Harshal Hall, above Summit Realty LLP Karve Road, Pune – 411 038</w:t>
              <w:br/>
              <w:t>Maharashtra, India</w:t>
              <w:br/>
              <w:t>E-mail: sanjay.desai@example.com</w:t>
              <w:br/>
              <w:t>Telephone: +91 555000029</w:t>
              <w:br/>
              <w:t>Firm registration number: 105215W/ W100057</w:t>
              <w:br/>
              <w:t>Peer review number: 014680</w:t>
            </w:r>
          </w:p>
        </w:tc>
        <w:tc>
          <w:tcPr>
            <w:tcW w:type="dxa" w:w="2880"/>
          </w:tcPr>
          <w:p>
            <w:r>
              <w:t>September 30, 2024</w:t>
            </w:r>
          </w:p>
        </w:tc>
        <w:tc>
          <w:tcPr>
            <w:tcW w:type="dxa" w:w="2880"/>
          </w:tcPr>
          <w:p>
            <w:r>
              <w:t>Appointment as the Statutory Auditors of our Company</w:t>
            </w:r>
          </w:p>
        </w:tc>
      </w:tr>
      <w:tr>
        <w:tc>
          <w:tcPr>
            <w:tcW w:type="dxa" w:w="2880"/>
          </w:tcPr>
          <w:p>
            <w:r>
              <w:t>Hingne Tare &amp; Associates Flat No.67 Riverside Lane, Greenville, NC 27834</w:t>
              <w:br/>
              <w:t>E-mail: john.doe@example.com</w:t>
              <w:br/>
              <w:t>Firm registration number: 116417W</w:t>
              <w:br/>
              <w:t>Peer review number: N.A.</w:t>
            </w:r>
          </w:p>
        </w:tc>
        <w:tc>
          <w:tcPr>
            <w:tcW w:type="dxa" w:w="2880"/>
          </w:tcPr>
          <w:p>
            <w:r>
              <w:t>September 30, 2024</w:t>
            </w:r>
          </w:p>
        </w:tc>
        <w:tc>
          <w:tcPr>
            <w:tcW w:type="dxa" w:w="2880"/>
          </w:tcPr>
          <w:p>
            <w:r>
              <w:t>Expiry of term as the statutory auditors of our Company</w:t>
            </w:r>
          </w:p>
        </w:tc>
      </w:tr>
    </w:tbl>
    <w:p>
      <w:pPr>
        <w:pStyle w:val="BodyText"/>
      </w:pPr>
    </w:p>
    <w:p>
      <w:pPr>
        <w:pStyle w:val="BodyText"/>
      </w:pPr>
    </w:p>
    <w:p>
      <w:pPr>
        <w:pStyle w:val="BodyText"/>
      </w:pPr>
    </w:p>
    <w:p>
      <w:pPr>
        <w:pStyle w:val="Heading3"/>
      </w:pPr>
      <w:r>
        <w:t>Bankers to our Company</w:t>
      </w:r>
    </w:p>
    <w:p>
      <w:r>
        <w:t>Citibank N.A.</w:t>
      </w:r>
    </w:p>
    <w:p>
      <w:pPr>
        <w:pStyle w:val="BodyText"/>
      </w:pPr>
      <w:r>
        <w:t>8th Floor, Onyx Tower North Main Road</w:t>
      </w:r>
    </w:p>
    <w:p>
      <w:pPr>
        <w:pStyle w:val="BodyText"/>
      </w:pPr>
      <w:r>
        <w:t>18 Hilltop Avenue, Bristol, TN 37620</w:t>
      </w:r>
    </w:p>
    <w:p>
      <w:r>
        <w:t>Telephone: +91 555000031</w:t>
      </w:r>
    </w:p>
    <w:p>
      <w:r>
        <w:t>Contact Person: Kevin Hall</w:t>
      </w:r>
    </w:p>
    <w:p>
      <w:pPr>
        <w:pStyle w:val="BodyText"/>
      </w:pPr>
      <w:r>
        <w:t>Website: http://commercialbanking.citibank.com</w:t>
      </w:r>
    </w:p>
    <w:p>
      <w:pPr>
        <w:pStyle w:val="BodyText"/>
      </w:pPr>
      <w:r>
        <w:t>Email: jane.smith@example.com</w:t>
      </w:r>
    </w:p>
    <w:p>
      <w:pPr>
        <w:pStyle w:val="BodyText"/>
      </w:pPr>
    </w:p>
    <w:p>
      <w:pPr>
        <w:pStyle w:val="BodyText"/>
      </w:pPr>
    </w:p>
    <w:p>
      <w:pPr>
        <w:pStyle w:val="BodyText"/>
      </w:pPr>
    </w:p>
    <w:p>
      <w:pPr>
        <w:pStyle w:val="Heading3"/>
      </w:pPr>
      <w:r>
        <w:t>Export-Import Bank of India</w:t>
      </w:r>
    </w:p>
    <w:p>
      <w:pPr>
        <w:pStyle w:val="BodyText"/>
      </w:pPr>
      <w:r>
        <w:t>No. 401, 401(A), 401(B)</w:t>
      </w:r>
    </w:p>
    <w:p>
      <w:pPr>
        <w:pStyle w:val="BodyText"/>
      </w:pPr>
      <w:r>
        <w:t>&amp; 402, 402(A), 402(B), 4th Floor</w:t>
      </w:r>
    </w:p>
    <w:p>
      <w:pPr>
        <w:pStyle w:val="BodyText"/>
      </w:pPr>
      <w:r>
        <w:t>89 Lakeside Road, Ashland, KY 41101</w:t>
      </w:r>
    </w:p>
    <w:p>
      <w:r>
        <w:t>Telephone: +91 555000034 Contact Person: Meera Bhatt Website: www.eximbankindia.in/ Email: priya.sharma@example.com</w:t>
      </w:r>
    </w:p>
    <w:p/>
    <w:p>
      <w:pPr>
        <w:pStyle w:val="BodyText"/>
      </w:pPr>
    </w:p>
    <w:p>
      <w:pPr>
        <w:pStyle w:val="BodyText"/>
      </w:pPr>
    </w:p>
    <w:p>
      <w:r>
        <w:t>Trident Power Limited 2401 Gen Thimmayya Road, Cantonment</w:t>
      </w:r>
    </w:p>
    <w:p>
      <w:pPr>
        <w:pStyle w:val="BodyText"/>
      </w:pPr>
      <w:r>
        <w:t>Pune – 411 001</w:t>
      </w:r>
    </w:p>
    <w:p>
      <w:pPr>
        <w:pStyle w:val="BodyText"/>
      </w:pPr>
      <w:r>
        <w:t>Maharashtra, India</w:t>
      </w:r>
    </w:p>
    <w:p>
      <w:r>
        <w:t>Telephone: +91 555000036 Contact Person: Brian Allen Website: www.indusind.com/ Email: emily.davis@example.com</w:t>
      </w:r>
    </w:p>
    <w:p>
      <w:pPr>
        <w:pStyle w:val="Heading3"/>
      </w:pPr>
    </w:p>
    <w:p>
      <w:pPr>
        <w:pStyle w:val="Heading3"/>
      </w:pPr>
      <w:r>
        <w:t>Oakridge Pharma LLP</w:t>
      </w:r>
    </w:p>
    <w:p>
      <w:pPr>
        <w:pStyle w:val="BodyText"/>
      </w:pPr>
      <w:r>
        <w:t>ICICI Bank, CBG, 3rd Floor, 362, Satguru House Next to Tanishq Showroom, CTS No. 30</w:t>
      </w:r>
    </w:p>
    <w:p>
      <w:pPr>
        <w:pStyle w:val="BodyText"/>
      </w:pPr>
      <w:r>
        <w:t>12 Maple Street, Springfield, IL 62701</w:t>
      </w:r>
    </w:p>
    <w:p>
      <w:r>
        <w:t>Telephone: +91 555000038 Contact Person: Ritu Kapoor Website: www.icicibank.com Email: sarah.brown@example.com</w:t>
      </w:r>
    </w:p>
    <w:p/>
    <w:p>
      <w:pPr>
        <w:pStyle w:val="Heading3"/>
      </w:pPr>
      <w:r>
        <w:t>Meridian Auto Components Limited</w:t>
      </w:r>
    </w:p>
    <w:p>
      <w:pPr>
        <w:pStyle w:val="BodyText"/>
      </w:pPr>
      <w:r>
        <w:t>5th Floor, Marathon IT Park Bund Garden Road</w:t>
      </w:r>
    </w:p>
    <w:p>
      <w:pPr>
        <w:pStyle w:val="BodyText"/>
      </w:pPr>
      <w:r>
        <w:t>Pune – 411 001</w:t>
      </w:r>
    </w:p>
    <w:p>
      <w:pPr>
        <w:pStyle w:val="BodyText"/>
      </w:pPr>
      <w:r>
        <w:t>Maharashtra, India</w:t>
      </w:r>
    </w:p>
    <w:p>
      <w:r>
        <w:t>Telephone: +91 555000039 Contact Person: Sanjay Desai Website: www.hdfcbank.com</w:t>
      </w:r>
    </w:p>
    <w:p>
      <w:pPr>
        <w:pStyle w:val="BodyText"/>
      </w:pPr>
      <w:r>
        <w:t>Email: robert.johnson@example.com</w:t>
      </w:r>
    </w:p>
    <w:p>
      <w:pPr>
        <w:pStyle w:val="Heading3"/>
      </w:pPr>
    </w:p>
    <w:p>
      <w:pPr>
        <w:pStyle w:val="Heading3"/>
      </w:pPr>
      <w:r>
        <w:t>State Bank of India, Industrial Finance Branch</w:t>
      </w:r>
    </w:p>
    <w:p>
      <w:pPr>
        <w:pStyle w:val="BodyText"/>
      </w:pPr>
      <w:r>
        <w:t>Tara Chambers, Mumbai-Pune Road, Wakdewadi</w:t>
      </w:r>
    </w:p>
    <w:p>
      <w:pPr>
        <w:pStyle w:val="BodyText"/>
      </w:pPr>
      <w:r>
        <w:t>Pune – 411 003</w:t>
      </w:r>
    </w:p>
    <w:p>
      <w:pPr>
        <w:pStyle w:val="BodyText"/>
      </w:pPr>
      <w:r>
        <w:t>Maharashtra, India</w:t>
      </w:r>
    </w:p>
    <w:p>
      <w:r>
        <w:t>Telephone: +91 555000041 Contact Person: Alice Young Website: www.sbi.co.in</w:t>
      </w:r>
    </w:p>
    <w:p>
      <w:pPr>
        <w:pStyle w:val="BodyText"/>
      </w:pPr>
      <w:r>
        <w:t>Email: james.miller@example.com</w:t>
      </w:r>
    </w:p>
    <w:p>
      <w:pPr>
        <w:pStyle w:val="BodyText"/>
      </w:pPr>
    </w:p>
    <w:p>
      <w:pPr>
        <w:pStyle w:val="BodyText"/>
      </w:pPr>
    </w:p>
    <w:p>
      <w:pPr>
        <w:pStyle w:val="BodyText"/>
      </w:pPr>
    </w:p>
    <w:p>
      <w:pPr>
        <w:pStyle w:val="BodyText"/>
      </w:pPr>
      <w:r>
        <w:t>Alpha Ventures Limited Ground Floor, Kubera Chambers Opp. Sancheti Hospital Shivajinagar, Pune – 41l 005 Maharashtra, India</w:t>
      </w:r>
    </w:p>
    <w:p>
      <w:r>
        <w:t>Telephone: +91 555000043</w:t>
      </w:r>
    </w:p>
    <w:p>
      <w:r>
        <w:t>Contact Person: John Doe</w:t>
      </w:r>
    </w:p>
    <w:p>
      <w:r>
        <w:t>Website: www.federalbank.co.in</w:t>
      </w:r>
    </w:p>
    <w:p>
      <w:pPr>
        <w:pStyle w:val="BodyText"/>
      </w:pPr>
      <w:r>
        <w:t>Email: daniel.garcia@example.com</w:t>
      </w:r>
    </w:p>
    <w:p>
      <w:pPr>
        <w:pStyle w:val="Heading3"/>
      </w:pPr>
    </w:p>
    <w:p>
      <w:pPr>
        <w:pStyle w:val="Heading3"/>
      </w:pPr>
      <w:r>
        <w:t>Bluewave Industries Pvt. Ltd.</w:t>
      </w:r>
    </w:p>
    <w:p>
      <w:pPr>
        <w:pStyle w:val="BodyText"/>
      </w:pPr>
      <w:r>
        <w:t>The Capital</w:t>
      </w:r>
    </w:p>
    <w:p>
      <w:pPr>
        <w:pStyle w:val="BodyText"/>
      </w:pPr>
      <w:r>
        <w:t>Unit no. 1601, B- wing BKC, Mumbai Maharashtra India</w:t>
      </w:r>
    </w:p>
    <w:p>
      <w:r>
        <w:t>Telephone: +91 555000046 Contact Person: Peter Parker Website: www.bajajfinance.com Email: sunita.menon@example.com</w:t>
      </w:r>
    </w:p>
    <w:p/>
    <w:p>
      <w:pPr>
        <w:pStyle w:val="BodyText"/>
      </w:pPr>
    </w:p>
    <w:p>
      <w:pPr>
        <w:pStyle w:val="Heading3"/>
      </w:pPr>
      <w:r>
        <w:t>Grading of the Offer</w:t>
      </w:r>
    </w:p>
    <w:p>
      <w:pPr>
        <w:pStyle w:val="BodyText"/>
      </w:pPr>
      <w:r>
        <w:t>No credit rating agency registered with SEBI has been appointed for obtaining grading for the Offer.</w:t>
      </w:r>
    </w:p>
    <w:p>
      <w:pPr>
        <w:pStyle w:val="Heading3"/>
      </w:pPr>
      <w:r>
        <w:t>Appraising Entity</w:t>
      </w:r>
    </w:p>
    <w:p>
      <w:pPr>
        <w:pStyle w:val="BodyText"/>
      </w:pPr>
      <w:r>
        <w:t>No appraising entity has been appointed in relation to the Offer.</w:t>
      </w:r>
    </w:p>
    <w:p>
      <w:pPr>
        <w:pStyle w:val="Heading3"/>
      </w:pPr>
      <w:r>
        <w:t>Monitoring Agency</w:t>
      </w:r>
    </w:p>
    <w:p>
      <w:pPr>
        <w:pStyle w:val="BodyText"/>
      </w:pPr>
      <w:r>
        <w:t>As the size of the Fresh Issue exceeds ₹1,000.00 million, our Company has appointed a credit rating agency registered with SEBI, namely, Northgate Bank Limited, as a monitoring agency to monitor the utilisation of the Net Proceeds, in accordance with Regulation 41 of the SEBI ICDR Regulations. For details in relation to the proposed utilisation of the Net Proceeds, see “Objects of the Offer” on page 106.</w:t>
      </w:r>
    </w:p>
    <w:p>
      <w:pPr>
        <w:pStyle w:val="Heading3"/>
      </w:pPr>
      <w:r>
        <w:t>Credit Rating</w:t>
      </w:r>
    </w:p>
    <w:p>
      <w:pPr>
        <w:pStyle w:val="BodyText"/>
      </w:pPr>
      <w:r>
        <w:t>As the Offer is of Equity Shares, credit rating is not required.</w:t>
      </w:r>
    </w:p>
    <w:p>
      <w:pPr>
        <w:pStyle w:val="Heading3"/>
      </w:pPr>
      <w:r>
        <w:t>Debenture Trustee</w:t>
      </w:r>
    </w:p>
    <w:p>
      <w:pPr>
        <w:pStyle w:val="BodyText"/>
      </w:pPr>
      <w:r>
        <w:t>As the Offer is of Equity Shares, the appointment of trustee is not required.</w:t>
      </w:r>
    </w:p>
    <w:p>
      <w:pPr>
        <w:pStyle w:val="Heading3"/>
      </w:pPr>
      <w:r>
        <w:t>Green Shoe Option</w:t>
      </w:r>
    </w:p>
    <w:p>
      <w:pPr>
        <w:pStyle w:val="BodyText"/>
      </w:pPr>
      <w:r>
        <w:t>No green shoe option is contemplated under the Offer.</w:t>
      </w:r>
    </w:p>
    <w:p>
      <w:pPr>
        <w:pStyle w:val="Heading3"/>
      </w:pPr>
      <w:r>
        <w:t>Filing of the Draft Red Herring Prospectus</w:t>
      </w:r>
    </w:p>
    <w:p>
      <w:pPr>
        <w:pStyle w:val="BodyText"/>
      </w:pPr>
      <w:r>
        <w:t>A copy of the Draft Red Herring Prospectus has been filed through SEBI’s online intermediary portal at https://siportal.sebi.gov.in, as specified in Regulation 25(8) of the SEBI ICDR Regulations and in accordance with SEBI ICDR Master Circular. It has also been filed at:</w:t>
      </w:r>
    </w:p>
    <w:p>
      <w:pPr>
        <w:pStyle w:val="Heading3"/>
      </w:pPr>
      <w:r>
        <w:t>Securities and Exchange Board of India</w:t>
      </w:r>
    </w:p>
    <w:p>
      <w:pPr>
        <w:pStyle w:val="BodyText"/>
      </w:pPr>
      <w:r>
        <w:t>Corporation Finance Department Division of Issues and Listing SEBI Bhavan, Plot No. C4 A, ‘G’ Block</w:t>
      </w:r>
    </w:p>
    <w:p>
      <w:pPr>
        <w:pStyle w:val="BodyText"/>
      </w:pPr>
      <w:r>
        <w:t>45 Cedar Avenue, Franklin, TX 75001</w:t>
      </w:r>
    </w:p>
    <w:p>
      <w:pPr>
        <w:pStyle w:val="Heading3"/>
      </w:pPr>
      <w:r>
        <w:t>Filing of this Red Herring Prospectus and Prospectus</w:t>
      </w:r>
    </w:p>
    <w:p>
      <w:pPr>
        <w:pStyle w:val="BodyText"/>
      </w:pPr>
      <w:r>
        <w:t>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BodyText"/>
      </w:pPr>
    </w:p>
    <w:p>
      <w:pPr>
        <w:pStyle w:val="Heading3"/>
      </w:pPr>
      <w:r>
        <w:t>Book Building Process</w:t>
      </w:r>
    </w:p>
    <w:p>
      <w:pPr>
        <w:pStyle w:val="BodyText"/>
      </w:pP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Text"/>
      </w:pPr>
      <w: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Text"/>
      </w:pPr>
      <w:r>
        <w:t>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p>
    <w:p>
      <w:pPr>
        <w:pStyle w:val="BodyText"/>
      </w:pPr>
      <w:r>
        <w:t>(ii)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w:t>
      </w:r>
    </w:p>
    <w:p>
      <w:r>
        <w:t>For further details, see “Terms of the Offer” and “Offer Procedure” on pages 411 and 420, respectively.</w:t>
      </w:r>
    </w:p>
    <w:p>
      <w:r>
        <w:t>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r>
        <w:t>The Book Building Process under the SEBI ICDR Regulations and the Bidding process are subject to change from time to time, and the Bidders are advised to make their own judgment about investment through the aforesaid processes prior to submitting a Bid in the Offer.</w:t>
      </w:r>
    </w:p>
    <w:p>
      <w:r>
        <w:t>Bidders should note that the Offer is also subject to (i) filing of the Prospectus by our Company with the RoC; and (ii) our Company obtaining final listing and trading approvals from the Stock Exchanges, which our Company shall apply for after Allotment.</w:t>
      </w:r>
    </w:p>
    <w:p>
      <w:r>
        <w:t>For further details on the method and procedure for Bidding, see “Offer Procedure” and “Offer Structure” on pages 420 and 417, respectively.</w:t>
      </w:r>
    </w:p>
    <w:p>
      <w:pPr>
        <w:pStyle w:val="Heading3"/>
      </w:pPr>
      <w:r>
        <w:t>Underwriting Agreement</w:t>
      </w:r>
    </w:p>
    <w:p>
      <w:pPr>
        <w:pStyle w:val="BodyText"/>
      </w:pPr>
      <w:r>
        <w:t>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pPr>
        <w:pStyle w:val="BodyText"/>
      </w:pPr>
      <w:r>
        <w:t>The Underwriting Agreement is dated [●]. The Underwriters have indicated their intention to underwrite the following number of Equity Shares:</w:t>
      </w:r>
    </w:p>
    <w:p>
      <w:r>
        <w:t>(The Underwriting Agreement has not been executed as on the date of this Red Herring Prospectus. This portion has been intentionally left blank and will be filled in before filing of the Prospectus with the RoC)</w:t>
      </w:r>
    </w:p>
    <w:p/>
    <w:p>
      <w:pPr>
        <w:pStyle w:val="BodyText"/>
      </w:pP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address, telephone and e-mail address of the Underwriters</w:t>
            </w:r>
          </w:p>
        </w:tc>
        <w:tc>
          <w:tcPr>
            <w:tcW w:type="dxa" w:w="2880"/>
          </w:tcPr>
          <w:p>
            <w:r>
              <w:t>Indicative Number of Equity Shares of face value of ₹5 each to be Underwritten</w:t>
            </w:r>
          </w:p>
        </w:tc>
        <w:tc>
          <w:tcPr>
            <w:tcW w:type="dxa" w:w="2880"/>
          </w:tcPr>
          <w:p>
            <w:r>
              <w:t>Amount Underwritten (₹ in million)</w:t>
            </w:r>
          </w:p>
        </w:tc>
      </w:tr>
      <w:tr>
        <w:tc>
          <w:tcPr>
            <w:tcW w:type="dxa" w:w="2880"/>
          </w:tcPr>
          <w:p>
            <w:r>
              <w:t>[●]</w:t>
            </w:r>
          </w:p>
        </w:tc>
        <w:tc>
          <w:tcPr>
            <w:tcW w:type="dxa" w:w="2880"/>
          </w:tcPr>
          <w:p>
            <w:r>
              <w:t>[●]</w:t>
            </w:r>
          </w:p>
        </w:tc>
        <w:tc>
          <w:tcPr>
            <w:tcW w:type="dxa" w:w="2880"/>
          </w:tcPr>
          <w:p>
            <w:r>
              <w:t>[●]</w:t>
            </w:r>
          </w:p>
        </w:tc>
      </w:tr>
      <w:tr>
        <w:tc>
          <w:tcPr>
            <w:tcW w:type="dxa" w:w="2880"/>
          </w:tcPr>
          <w:p>
            <w:r>
              <w:t>[●]</w:t>
            </w:r>
          </w:p>
        </w:tc>
        <w:tc>
          <w:tcPr>
            <w:tcW w:type="dxa" w:w="2880"/>
          </w:tcPr>
          <w:p>
            <w:r>
              <w:t>[●]</w:t>
            </w:r>
          </w:p>
        </w:tc>
        <w:tc>
          <w:tcPr>
            <w:tcW w:type="dxa" w:w="2880"/>
          </w:tcPr>
          <w:p>
            <w:r>
              <w:t>[●]</w:t>
            </w:r>
          </w:p>
        </w:tc>
      </w:tr>
    </w:tbl>
    <w:p>
      <w:pPr>
        <w:pStyle w:val="BodyText"/>
      </w:pPr>
    </w:p>
    <w:p>
      <w:pPr>
        <w:pStyle w:val="BodyText"/>
      </w:pPr>
    </w:p>
    <w:p>
      <w:pPr>
        <w:pStyle w:val="BodyText"/>
      </w:pPr>
      <w:r>
        <w:t>The above-mentioned underwriting commitment is indicative and will be finalized after determination of the Offer Price and Basis of Allotment and will be subject to Regulation 40(3) of the SEBI ICDR Regulations.</w:t>
      </w:r>
    </w:p>
    <w:p>
      <w:pPr>
        <w:pStyle w:val="BodyText"/>
      </w:pPr>
      <w: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w:t>
      </w:r>
    </w:p>
    <w:p>
      <w:pPr>
        <w:pStyle w:val="BodyText"/>
      </w:pPr>
      <w:r>
        <w:t>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BodyText"/>
      </w:pPr>
    </w:p>
    <w:p>
      <w:pPr>
        <w:pStyle w:val="Heading2"/>
      </w:pPr>
      <w:r>
        <w:t>CAPITAL STRUCTURE</w:t>
      </w:r>
    </w:p>
    <w:p>
      <w:pPr>
        <w:pStyle w:val="BodyText"/>
      </w:pPr>
      <w:r>
        <w:t>The share capital of our Company, as on the date of this Red Herring Prospectus, is set forth below:</w:t>
      </w:r>
    </w:p>
    <w:p>
      <w:r>
        <w:t>(in ₹, except share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Particulars</w:t>
            </w:r>
          </w:p>
        </w:tc>
        <w:tc>
          <w:tcPr>
            <w:tcW w:type="dxa" w:w="2160"/>
          </w:tcPr>
          <w:p>
            <w:r>
              <w:t>Aggregate nominal value</w:t>
            </w:r>
          </w:p>
        </w:tc>
        <w:tc>
          <w:tcPr>
            <w:tcW w:type="dxa" w:w="2160"/>
          </w:tcPr>
          <w:p>
            <w:r>
              <w:t>Aggregate value at Offer Price*</w:t>
            </w:r>
          </w:p>
        </w:tc>
      </w:tr>
      <w:tr>
        <w:tc>
          <w:tcPr>
            <w:tcW w:type="dxa" w:w="2160"/>
          </w:tcPr>
          <w:p>
            <w:r>
              <w:t>A)</w:t>
            </w:r>
          </w:p>
        </w:tc>
        <w:tc>
          <w:tcPr>
            <w:tcW w:type="dxa" w:w="6480"/>
            <w:gridSpan w:val="3"/>
          </w:tcPr>
          <w:p>
            <w:r>
              <w:t>AUTHORISED SHARE CAPITAL(1)</w:t>
            </w:r>
          </w:p>
        </w:tc>
      </w:tr>
      <w:tr>
        <w:tc>
          <w:tcPr>
            <w:tcW w:type="dxa" w:w="2160"/>
          </w:tcPr>
          <w:p>
            <w:r/>
          </w:p>
        </w:tc>
        <w:tc>
          <w:tcPr>
            <w:tcW w:type="dxa" w:w="2160"/>
          </w:tcPr>
          <w:p>
            <w:r>
              <w:t>Equity Shares comprising:</w:t>
            </w:r>
          </w:p>
        </w:tc>
        <w:tc>
          <w:tcPr>
            <w:tcW w:type="dxa" w:w="2160"/>
          </w:tcPr>
          <w:p>
            <w:r/>
          </w:p>
        </w:tc>
        <w:tc>
          <w:tcPr>
            <w:tcW w:type="dxa" w:w="2160"/>
          </w:tcPr>
          <w:p>
            <w:r>
              <w:t>[●]</w:t>
            </w:r>
          </w:p>
        </w:tc>
      </w:tr>
      <w:tr>
        <w:tc>
          <w:tcPr>
            <w:tcW w:type="dxa" w:w="2160"/>
          </w:tcPr>
          <w:p>
            <w:r/>
          </w:p>
        </w:tc>
        <w:tc>
          <w:tcPr>
            <w:tcW w:type="dxa" w:w="2160"/>
          </w:tcPr>
          <w:p>
            <w:r>
              <w:t>80,000,000 Equity Shares of face value of ₹5 each</w:t>
            </w:r>
          </w:p>
        </w:tc>
        <w:tc>
          <w:tcPr>
            <w:tcW w:type="dxa" w:w="2160"/>
          </w:tcPr>
          <w:p>
            <w:r>
              <w:t>400,000,000</w:t>
            </w:r>
          </w:p>
        </w:tc>
        <w:tc>
          <w:tcPr>
            <w:tcW w:type="dxa" w:w="2160"/>
          </w:tcPr>
          <w:p>
            <w:r>
              <w:t>[●]</w:t>
            </w:r>
          </w:p>
        </w:tc>
      </w:tr>
      <w:tr>
        <w:tc>
          <w:tcPr>
            <w:tcW w:type="dxa" w:w="8640"/>
            <w:gridSpan w:val="4"/>
          </w:tcPr>
          <w:p>
            <w:r/>
          </w:p>
        </w:tc>
      </w:tr>
      <w:tr>
        <w:tc>
          <w:tcPr>
            <w:tcW w:type="dxa" w:w="2160"/>
          </w:tcPr>
          <w:p>
            <w:r>
              <w:t>B)</w:t>
            </w:r>
          </w:p>
        </w:tc>
        <w:tc>
          <w:tcPr>
            <w:tcW w:type="dxa" w:w="6480"/>
            <w:gridSpan w:val="3"/>
          </w:tcPr>
          <w:p>
            <w:r>
              <w:t>ISSUED, SUBSCRIBED AND PAID-UP SHARE CAPITAL BEFORE THE OFFER</w:t>
            </w:r>
          </w:p>
        </w:tc>
      </w:tr>
      <w:tr>
        <w:tc>
          <w:tcPr>
            <w:tcW w:type="dxa" w:w="2160"/>
          </w:tcPr>
          <w:p>
            <w:r/>
          </w:p>
        </w:tc>
        <w:tc>
          <w:tcPr>
            <w:tcW w:type="dxa" w:w="2160"/>
          </w:tcPr>
          <w:p>
            <w:r>
              <w:t>56,818,200 Equity Shares of face value of ₹5 each</w:t>
            </w:r>
          </w:p>
        </w:tc>
        <w:tc>
          <w:tcPr>
            <w:tcW w:type="dxa" w:w="2160"/>
          </w:tcPr>
          <w:p>
            <w:r>
              <w:t>284,091,000</w:t>
            </w:r>
          </w:p>
        </w:tc>
        <w:tc>
          <w:tcPr>
            <w:tcW w:type="dxa" w:w="2160"/>
          </w:tcPr>
          <w:p>
            <w:r>
              <w:t>[●]</w:t>
            </w:r>
          </w:p>
        </w:tc>
      </w:tr>
      <w:tr>
        <w:tc>
          <w:tcPr>
            <w:tcW w:type="dxa" w:w="8640"/>
            <w:gridSpan w:val="4"/>
          </w:tcPr>
          <w:p>
            <w:r/>
          </w:p>
        </w:tc>
      </w:tr>
      <w:tr>
        <w:tc>
          <w:tcPr>
            <w:tcW w:type="dxa" w:w="2160"/>
          </w:tcPr>
          <w:p>
            <w:r>
              <w:t>C)</w:t>
            </w:r>
          </w:p>
        </w:tc>
        <w:tc>
          <w:tcPr>
            <w:tcW w:type="dxa" w:w="6480"/>
            <w:gridSpan w:val="3"/>
          </w:tcPr>
          <w:p>
            <w:r>
              <w:t>PRESENT OFFER(2)</w:t>
            </w:r>
          </w:p>
        </w:tc>
      </w:tr>
      <w:tr>
        <w:tc>
          <w:tcPr>
            <w:tcW w:type="dxa" w:w="2160"/>
          </w:tcPr>
          <w:p>
            <w:r/>
          </w:p>
        </w:tc>
        <w:tc>
          <w:tcPr>
            <w:tcW w:type="dxa" w:w="2160"/>
          </w:tcPr>
          <w:p>
            <w:r>
              <w:t>Offer of up to [●] Equity Shares of face value of ₹5 each aggregating up to</w:t>
              <w:br/>
              <w:t>₹7,100.00 million (3)</w:t>
            </w:r>
          </w:p>
        </w:tc>
        <w:tc>
          <w:tcPr>
            <w:tcW w:type="dxa" w:w="2160"/>
          </w:tcPr>
          <w:p>
            <w:r>
              <w:t>[●]</w:t>
            </w:r>
          </w:p>
        </w:tc>
        <w:tc>
          <w:tcPr>
            <w:tcW w:type="dxa" w:w="2160"/>
          </w:tcPr>
          <w:p>
            <w:r>
              <w:t>[●]</w:t>
            </w:r>
          </w:p>
        </w:tc>
      </w:tr>
      <w:tr>
        <w:tc>
          <w:tcPr>
            <w:tcW w:type="dxa" w:w="2160"/>
          </w:tcPr>
          <w:p>
            <w:r/>
          </w:p>
        </w:tc>
        <w:tc>
          <w:tcPr>
            <w:tcW w:type="dxa" w:w="2160"/>
          </w:tcPr>
          <w:p>
            <w:r>
              <w:t>Of which</w:t>
            </w:r>
          </w:p>
        </w:tc>
        <w:tc>
          <w:tcPr>
            <w:tcW w:type="dxa" w:w="2160"/>
          </w:tcPr>
          <w:p>
            <w:r/>
          </w:p>
        </w:tc>
        <w:tc>
          <w:tcPr>
            <w:tcW w:type="dxa" w:w="2160"/>
          </w:tcPr>
          <w:p>
            <w:r/>
          </w:p>
        </w:tc>
      </w:tr>
      <w:tr>
        <w:tc>
          <w:tcPr>
            <w:tcW w:type="dxa" w:w="2160"/>
          </w:tcPr>
          <w:p>
            <w:r/>
          </w:p>
        </w:tc>
        <w:tc>
          <w:tcPr>
            <w:tcW w:type="dxa" w:w="2160"/>
          </w:tcPr>
          <w:p>
            <w:r>
              <w:t>Fresh Issue of up to [●] Equity Shares of face value of ₹5 each aggregating up to ₹4,200.00 million</w:t>
            </w:r>
          </w:p>
        </w:tc>
        <w:tc>
          <w:tcPr>
            <w:tcW w:type="dxa" w:w="2160"/>
          </w:tcPr>
          <w:p>
            <w:r>
              <w:t>[●]</w:t>
            </w:r>
          </w:p>
        </w:tc>
        <w:tc>
          <w:tcPr>
            <w:tcW w:type="dxa" w:w="2160"/>
          </w:tcPr>
          <w:p>
            <w:r>
              <w:t>[●]</w:t>
            </w:r>
          </w:p>
        </w:tc>
      </w:tr>
      <w:tr>
        <w:tc>
          <w:tcPr>
            <w:tcW w:type="dxa" w:w="2160"/>
          </w:tcPr>
          <w:p>
            <w:r/>
          </w:p>
        </w:tc>
        <w:tc>
          <w:tcPr>
            <w:tcW w:type="dxa" w:w="2160"/>
          </w:tcPr>
          <w:p>
            <w:r>
              <w:t>Offer for Sale of up to [●] Equity Shares of face value of ₹5 each aggregating up to ₹2,900.00 million(3)</w:t>
            </w:r>
          </w:p>
        </w:tc>
        <w:tc>
          <w:tcPr>
            <w:tcW w:type="dxa" w:w="2160"/>
          </w:tcPr>
          <w:p>
            <w:r>
              <w:t>[●]</w:t>
            </w:r>
          </w:p>
        </w:tc>
        <w:tc>
          <w:tcPr>
            <w:tcW w:type="dxa" w:w="2160"/>
          </w:tcPr>
          <w:p>
            <w:r>
              <w:t>[●]</w:t>
            </w:r>
          </w:p>
        </w:tc>
      </w:tr>
      <w:tr>
        <w:tc>
          <w:tcPr>
            <w:tcW w:type="dxa" w:w="8640"/>
            <w:gridSpan w:val="4"/>
          </w:tcPr>
          <w:p>
            <w:r/>
          </w:p>
        </w:tc>
      </w:tr>
      <w:tr>
        <w:tc>
          <w:tcPr>
            <w:tcW w:type="dxa" w:w="2160"/>
          </w:tcPr>
          <w:p>
            <w:r>
              <w:t>E)</w:t>
            </w:r>
          </w:p>
        </w:tc>
        <w:tc>
          <w:tcPr>
            <w:tcW w:type="dxa" w:w="6480"/>
            <w:gridSpan w:val="3"/>
          </w:tcPr>
          <w:p>
            <w:r>
              <w:t>ISSUED, SUBSCRIBED AND PAID-UP SHARE CAPITAL AFTER THE OFFER*</w:t>
            </w:r>
          </w:p>
        </w:tc>
      </w:tr>
      <w:tr>
        <w:tc>
          <w:tcPr>
            <w:tcW w:type="dxa" w:w="2160"/>
          </w:tcPr>
          <w:p>
            <w:r/>
          </w:p>
        </w:tc>
        <w:tc>
          <w:tcPr>
            <w:tcW w:type="dxa" w:w="2160"/>
          </w:tcPr>
          <w:p>
            <w:r>
              <w:t>[●] Equity Shares of face value of ₹5 each</w:t>
            </w:r>
          </w:p>
        </w:tc>
        <w:tc>
          <w:tcPr>
            <w:tcW w:type="dxa" w:w="2160"/>
          </w:tcPr>
          <w:p>
            <w:r>
              <w:t>[●]</w:t>
            </w:r>
          </w:p>
        </w:tc>
        <w:tc>
          <w:tcPr>
            <w:tcW w:type="dxa" w:w="2160"/>
          </w:tcPr>
          <w:p>
            <w:r>
              <w:t>[●]</w:t>
            </w:r>
          </w:p>
        </w:tc>
      </w:tr>
      <w:tr>
        <w:tc>
          <w:tcPr>
            <w:tcW w:type="dxa" w:w="8640"/>
            <w:gridSpan w:val="4"/>
          </w:tcPr>
          <w:p>
            <w:r/>
          </w:p>
        </w:tc>
      </w:tr>
      <w:tr>
        <w:tc>
          <w:tcPr>
            <w:tcW w:type="dxa" w:w="2160"/>
          </w:tcPr>
          <w:p>
            <w:r>
              <w:t>F)</w:t>
            </w:r>
          </w:p>
        </w:tc>
        <w:tc>
          <w:tcPr>
            <w:tcW w:type="dxa" w:w="6480"/>
            <w:gridSpan w:val="3"/>
          </w:tcPr>
          <w:p>
            <w:r>
              <w:t>SECURITIES PREMIUM ACCOUNT</w:t>
            </w:r>
          </w:p>
        </w:tc>
      </w:tr>
      <w:tr>
        <w:tc>
          <w:tcPr>
            <w:tcW w:type="dxa" w:w="2160"/>
          </w:tcPr>
          <w:p>
            <w:r/>
          </w:p>
        </w:tc>
        <w:tc>
          <w:tcPr>
            <w:tcW w:type="dxa" w:w="2160"/>
          </w:tcPr>
          <w:p>
            <w:r>
              <w:t>Before the Offer</w:t>
            </w:r>
          </w:p>
        </w:tc>
        <w:tc>
          <w:tcPr>
            <w:tcW w:type="dxa" w:w="4320"/>
            <w:gridSpan w:val="2"/>
          </w:tcPr>
          <w:p>
            <w:r>
              <w:t>0.00</w:t>
            </w:r>
          </w:p>
        </w:tc>
      </w:tr>
      <w:tr>
        <w:tc>
          <w:tcPr>
            <w:tcW w:type="dxa" w:w="2160"/>
          </w:tcPr>
          <w:p>
            <w:r/>
          </w:p>
        </w:tc>
        <w:tc>
          <w:tcPr>
            <w:tcW w:type="dxa" w:w="2160"/>
          </w:tcPr>
          <w:p>
            <w:r>
              <w:t>After the Offer*</w:t>
            </w:r>
          </w:p>
        </w:tc>
        <w:tc>
          <w:tcPr>
            <w:tcW w:type="dxa" w:w="4320"/>
            <w:gridSpan w:val="2"/>
          </w:tcPr>
          <w:p>
            <w:r>
              <w:t>[●]</w:t>
            </w:r>
          </w:p>
        </w:tc>
      </w:tr>
    </w:tbl>
    <w:p/>
    <w:p>
      <w:r>
        <w:t>*</w:t>
        <w:tab/>
        <w:t>To be updated upon finalisation of the Offer Price, and subject to Basis of Allotment.</w:t>
      </w:r>
    </w:p>
    <w:p>
      <w:r>
        <w:t>(1)  For details in relation to the changes in the authorised share capital of our Company in the last 10 years, see “History and Certain Corporate Matters – Amendments to our Memorandum of Association in the last 10 years” on page 244.</w:t>
      </w:r>
    </w:p>
    <w:p>
      <w: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r>
        <w:t>(3)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p>
      <w:pPr>
        <w:pStyle w:val="Heading3"/>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