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Arregle por el momento 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problema con el registrarse de la aplicación móvil, ya que cuando alguien se registraba te iniciaba la sesión, además de avanzar un poco en la trivia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la página web, en mostrar mas información del usuario, como las recompensas, y las respuestas de la trivia, además en los datos estadísticos mostrar las respuestas generales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con lo que es el diseño o front end para que así la pagina sea mas llamativa.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información sobre el nuevo Buin Zoo-Bioparque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fuentes y artículos sobre el Bioparque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Pocas fuentes de información 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la vista para trivia, y terminar de programar la lógica para mostrar las preguntas al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un temporizador a preguntas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día de hoy no he tenido impedimentos para poder llevar a cabo las tareas.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de rellenar la información de las plantas y estuve investigando en varios artículos y entrevistas sobre el cambio al bioparque Buin Zoo.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el guión de los audios de las plantas.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HdSFKsRb4ir8z623IAWtUMSfnw==">CgMxLjA4AHIhMVlpeDJBVHJwRmt6d3MxY0prWUhWNFRzd1NGNzY1MTAx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