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más en el libreto para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seguir viendo el dashboard para la parte de los oirs, satisfacción de la app y premios no reclamados pero la parte de diseño.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para ver dashboard que vayan de lo más general a lo más específico.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diseño de los cruds en 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Rediseñar los cruds de plantas en 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apartado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el servicio para guardar las atracciones que ve el usuario, ya que guarda más de una vez el método por el que ingresó a la información.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diseño de info animal.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diseño inicio adulto.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unLJ9Uqpv68v9qFb2RoHmnegUg==">CgMxLjA4AHIhMTF0U0wzTnhsa1NXQ1pGT2NtSjhkb1JLcG5KZ3BraV8z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