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7.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apartado de ingresos app, usuarios nuevos y respuestas trivia con filtro de año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Avanzare en mi parte de la presentación, en las funcionalidades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Nada por ahora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por preguntas el buscador de preguntas trivia.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Aplicar el mismo filtro pero que busque preguntas por animales y plantas.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5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Agregar botón para volver en todas las páginas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notificación enviada por el administrador desde la página web.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Implementar rating en el proyecto.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visualmente apartado plantas-info y rating.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FWrnNNkS5GRax4VaPRMGCwrxsQ==">CgMxLjA4AHIhMUtDbzdwVnlXTzBwMlU5em1IWk5BNnZ2SW1UbkctYktE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