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60"/>
      </w:pPr>
      <w:r>
        <w:rPr>
          <w:rFonts w:ascii="Arial" w:hAnsi="Arial"/>
          <w:b/>
          <w:color w:val="16324F"/>
          <w:sz w:val="58"/>
        </w:rPr>
        <w:t>U.S. Superstore Sales Analysis</w:t>
      </w:r>
    </w:p>
    <w:p>
      <w:pPr>
        <w:spacing w:after="240"/>
      </w:pPr>
      <w:r>
        <w:rPr>
          <w:rFonts w:ascii="Arial" w:hAnsi="Arial"/>
          <w:color w:val="2A9D8F"/>
          <w:sz w:val="22"/>
        </w:rPr>
        <w:t>Regional performance, customer contribution, product leaders, and sales trends | 2014–2017</w:t>
      </w:r>
    </w:p>
    <w:p>
      <w:pPr>
        <w:spacing w:after="80"/>
      </w:pPr>
      <w:r>
        <w:rPr>
          <w:b/>
        </w:rPr>
        <w:t>PROJECT OVERVIEW</w:t>
      </w:r>
    </w:p>
    <w:p>
      <w:r>
        <w:t>This project reviews nearly four years of U.S. Superstore transactions to show where revenue is strongest, which customer segments contribute profit, which products and customers lead sales, and how results change over time. The completed workbook includes the original practice sheets, a formula-linked analysis tab, and a finished report dashboard.</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5184"/>
        <w:gridCol w:w="5184"/>
      </w:tblGrid>
      <w:tr>
        <w:tc>
          <w:tcPr>
            <w:tcW w:type="dxa" w:w="4824"/>
            <w:shd w:fill="F2F6F8"/>
            <w:vAlign w:val="center"/>
            <w:tcMar>
              <w:top w:w="80" w:type="dxa"/>
              <w:start w:w="90" w:type="dxa"/>
              <w:bottom w:w="80" w:type="dxa"/>
              <w:end w:w="90" w:type="dxa"/>
            </w:tcMar>
          </w:tcPr>
          <w:p>
            <w:pPr>
              <w:spacing w:before="0" w:after="0"/>
            </w:pPr>
            <w:r/>
            <w:r>
              <w:rPr>
                <w:rFonts w:ascii="Arial" w:hAnsi="Arial"/>
                <w:b/>
                <w:color w:val="16324F"/>
                <w:sz w:val="26"/>
              </w:rPr>
              <w:t>TOTAL SALES</w:t>
              <w:br/>
              <w:t>$2,297,201</w:t>
            </w:r>
          </w:p>
        </w:tc>
        <w:tc>
          <w:tcPr>
            <w:tcW w:type="dxa" w:w="4824"/>
            <w:shd w:fill="F2F6F8"/>
            <w:vAlign w:val="center"/>
            <w:tcMar>
              <w:top w:w="80" w:type="dxa"/>
              <w:start w:w="90" w:type="dxa"/>
              <w:bottom w:w="80" w:type="dxa"/>
              <w:end w:w="90" w:type="dxa"/>
            </w:tcMar>
          </w:tcPr>
          <w:p>
            <w:pPr>
              <w:spacing w:before="0" w:after="0"/>
            </w:pPr>
            <w:r/>
            <w:r>
              <w:rPr>
                <w:rFonts w:ascii="Arial" w:hAnsi="Arial"/>
                <w:b/>
                <w:color w:val="16324F"/>
                <w:sz w:val="26"/>
              </w:rPr>
              <w:t>TOTAL PROFIT</w:t>
              <w:br/>
              <w:t>$286,397</w:t>
            </w:r>
          </w:p>
        </w:tc>
      </w:tr>
      <w:tr>
        <w:tc>
          <w:tcPr>
            <w:tcW w:type="dxa" w:w="4824"/>
            <w:shd w:fill="F2F6F8"/>
            <w:vAlign w:val="center"/>
            <w:tcMar>
              <w:top w:w="80" w:type="dxa"/>
              <w:start w:w="90" w:type="dxa"/>
              <w:bottom w:w="80" w:type="dxa"/>
              <w:end w:w="90" w:type="dxa"/>
            </w:tcMar>
          </w:tcPr>
          <w:p>
            <w:pPr>
              <w:spacing w:before="0" w:after="0"/>
            </w:pPr>
            <w:r/>
            <w:r>
              <w:rPr>
                <w:rFonts w:ascii="Arial" w:hAnsi="Arial"/>
                <w:b/>
                <w:color w:val="16324F"/>
                <w:sz w:val="26"/>
              </w:rPr>
              <w:t>UNITS SOLD</w:t>
              <w:br/>
              <w:t>37,873</w:t>
            </w:r>
          </w:p>
        </w:tc>
        <w:tc>
          <w:tcPr>
            <w:tcW w:type="dxa" w:w="4824"/>
            <w:shd w:fill="F2F6F8"/>
            <w:vAlign w:val="center"/>
            <w:tcMar>
              <w:top w:w="80" w:type="dxa"/>
              <w:start w:w="90" w:type="dxa"/>
              <w:bottom w:w="80" w:type="dxa"/>
              <w:end w:w="90" w:type="dxa"/>
            </w:tcMar>
          </w:tcPr>
          <w:p>
            <w:pPr>
              <w:spacing w:before="0" w:after="0"/>
            </w:pPr>
            <w:r/>
            <w:r>
              <w:rPr>
                <w:rFonts w:ascii="Arial" w:hAnsi="Arial"/>
                <w:b/>
                <w:color w:val="16324F"/>
                <w:sz w:val="26"/>
              </w:rPr>
              <w:t>SALES RECORDS</w:t>
              <w:br/>
              <w:t>9,994</w:t>
            </w:r>
          </w:p>
        </w:tc>
      </w:tr>
    </w:tbl>
    <w:p>
      <w:pPr>
        <w:pStyle w:val="Heading2"/>
      </w:pPr>
      <w:r>
        <w:t>Executive summary</w:t>
      </w:r>
    </w:p>
    <w:p>
      <w:r>
        <w:t>The dataset records $2,297,201 in sales and $286,397 in profit, for a 12.5% overall profit margin. The West is the largest region at $725,458; California is the leading state, and New York City, New York, is the top city-state market.</w:t>
      </w:r>
    </w:p>
    <w:p>
      <w:r>
        <w:t>Consumer customers contribute $134,119, or 46.8% of total profit. Technology leads the three product categories in sales at $836,154. Annual sales rose from $484,247 in 2014 to $733,215 in 2017, while November is the strongest month when all four years are combined.</w:t>
      </w:r>
    </w:p>
    <w:p>
      <w:pPr>
        <w:pStyle w:val="Heading2"/>
      </w:pPr>
      <w:r>
        <w:t>Scope and method</w:t>
      </w:r>
    </w:p>
    <w:p>
      <w:r>
        <w:t>The source sheet contains 9,994 transaction lines spanning 2014–2017, 49 states, 531 distinct city names, 793 customers, and 1,862 distinct product IDs. Revenue and profit are summed from the line-level fields. Product and customer rankings use total sales; segment contribution uses total profit. State and city rankings use sales, with city matched to state so identically named places stay separate. Monthly totals combine the same calendar month across the four years; the workbook also keeps the year-by-month values and quarterly totals for comparison.</w:t>
      </w:r>
    </w:p>
    <w:p>
      <w:pPr>
        <w:spacing w:after="0"/>
      </w:pPr>
      <w:r>
        <w:t>All amounts are in U.S. dollars. The ranking lists describe this supplied dataset snapshot; the workbook keeps the calculations visible on its Analysis tab.</w:t>
      </w:r>
    </w:p>
    <w:p>
      <w:r>
        <w:br w:type="page"/>
      </w:r>
    </w:p>
    <w:p>
      <w:pPr>
        <w:pStyle w:val="Heading1"/>
      </w:pPr>
      <w:r>
        <w:t>Regional and customer-segment performance</w:t>
      </w:r>
    </w:p>
    <w:p>
      <w:r>
        <w:t>The West and East together account for 61.1% of sales. The Consumer segment produces the largest share of profit, though profit contribution should be read alongside the sales mix and not as a measure of customer count.</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84"/>
        <w:gridCol w:w="5184"/>
      </w:tblGrid>
      <w:tr>
        <w:tc>
          <w:tcPr>
            <w:tcW w:type="dxa" w:w="4896"/>
          </w:tcPr>
          <w:p>
            <w:pPr>
              <w:spacing w:after="0"/>
              <w:jc w:val="center"/>
            </w:pPr>
            <w:r>
              <w:drawing>
                <wp:inline xmlns:a="http://schemas.openxmlformats.org/drawingml/2006/main" xmlns:pic="http://schemas.openxmlformats.org/drawingml/2006/picture">
                  <wp:extent cx="2944368" cy="1857217"/>
                  <wp:docPr id="1" name="Picture 1" descr="Sales by region."/>
                  <wp:cNvGraphicFramePr>
                    <a:graphicFrameLocks noChangeAspect="1"/>
                  </wp:cNvGraphicFramePr>
                  <a:graphic>
                    <a:graphicData uri="http://schemas.openxmlformats.org/drawingml/2006/picture">
                      <pic:pic>
                        <pic:nvPicPr>
                          <pic:cNvPr id="0" name="sales_by_region.png"/>
                          <pic:cNvPicPr/>
                        </pic:nvPicPr>
                        <pic:blipFill>
                          <a:blip r:embed="rId11"/>
                          <a:stretch>
                            <a:fillRect/>
                          </a:stretch>
                        </pic:blipFill>
                        <pic:spPr>
                          <a:xfrm>
                            <a:off x="0" y="0"/>
                            <a:ext cx="2944368" cy="1857217"/>
                          </a:xfrm>
                          <a:prstGeom prst="rect"/>
                        </pic:spPr>
                      </pic:pic>
                    </a:graphicData>
                  </a:graphic>
                </wp:inline>
              </w:drawing>
            </w:r>
          </w:p>
        </w:tc>
        <w:tc>
          <w:tcPr>
            <w:tcW w:type="dxa" w:w="4896"/>
          </w:tcPr>
          <w:p>
            <w:pPr>
              <w:spacing w:after="0"/>
              <w:jc w:val="center"/>
            </w:pPr>
            <w:r>
              <w:drawing>
                <wp:inline xmlns:a="http://schemas.openxmlformats.org/drawingml/2006/main" xmlns:pic="http://schemas.openxmlformats.org/drawingml/2006/picture">
                  <wp:extent cx="2944368" cy="1857217"/>
                  <wp:docPr id="2" name="Picture 2" descr="Profit contribution by customer segment, including share."/>
                  <wp:cNvGraphicFramePr>
                    <a:graphicFrameLocks noChangeAspect="1"/>
                  </wp:cNvGraphicFramePr>
                  <a:graphic>
                    <a:graphicData uri="http://schemas.openxmlformats.org/drawingml/2006/picture">
                      <pic:pic>
                        <pic:nvPicPr>
                          <pic:cNvPr id="0" name="profit_by_segment.png"/>
                          <pic:cNvPicPr/>
                        </pic:nvPicPr>
                        <pic:blipFill>
                          <a:blip r:embed="rId12"/>
                          <a:stretch>
                            <a:fillRect/>
                          </a:stretch>
                        </pic:blipFill>
                        <pic:spPr>
                          <a:xfrm>
                            <a:off x="0" y="0"/>
                            <a:ext cx="2944368" cy="1857217"/>
                          </a:xfrm>
                          <a:prstGeom prst="rect"/>
                        </pic:spPr>
                      </pic:pic>
                    </a:graphicData>
                  </a:graphic>
                </wp:inline>
              </w:drawing>
            </w:r>
          </w:p>
        </w:tc>
      </w:tr>
      <w:tr>
        <w:tc>
          <w:tcPr>
            <w:tcW w:type="dxa" w:w="4896"/>
          </w:tcPr>
          <w:p>
            <w:pPr>
              <w:spacing w:after="0"/>
              <w:jc w:val="center"/>
            </w:pPr>
            <w:r>
              <w:drawing>
                <wp:inline xmlns:a="http://schemas.openxmlformats.org/drawingml/2006/main" xmlns:pic="http://schemas.openxmlformats.org/drawingml/2006/picture">
                  <wp:extent cx="2944368" cy="1857217"/>
                  <wp:docPr id="3" name="Picture 3" descr="Top ten states by sales."/>
                  <wp:cNvGraphicFramePr>
                    <a:graphicFrameLocks noChangeAspect="1"/>
                  </wp:cNvGraphicFramePr>
                  <a:graphic>
                    <a:graphicData uri="http://schemas.openxmlformats.org/drawingml/2006/picture">
                      <pic:pic>
                        <pic:nvPicPr>
                          <pic:cNvPr id="0" name="top_states.png"/>
                          <pic:cNvPicPr/>
                        </pic:nvPicPr>
                        <pic:blipFill>
                          <a:blip r:embed="rId13"/>
                          <a:stretch>
                            <a:fillRect/>
                          </a:stretch>
                        </pic:blipFill>
                        <pic:spPr>
                          <a:xfrm>
                            <a:off x="0" y="0"/>
                            <a:ext cx="2944368" cy="1857217"/>
                          </a:xfrm>
                          <a:prstGeom prst="rect"/>
                        </pic:spPr>
                      </pic:pic>
                    </a:graphicData>
                  </a:graphic>
                </wp:inline>
              </w:drawing>
            </w:r>
          </w:p>
        </w:tc>
        <w:tc>
          <w:tcPr>
            <w:tcW w:type="dxa" w:w="4896"/>
          </w:tcPr>
          <w:p>
            <w:pPr>
              <w:spacing w:after="0"/>
              <w:jc w:val="center"/>
            </w:pPr>
            <w:r>
              <w:drawing>
                <wp:inline xmlns:a="http://schemas.openxmlformats.org/drawingml/2006/main" xmlns:pic="http://schemas.openxmlformats.org/drawingml/2006/picture">
                  <wp:extent cx="2944368" cy="1857217"/>
                  <wp:docPr id="4" name="Picture 4" descr="Top ten city-state markets by sales."/>
                  <wp:cNvGraphicFramePr>
                    <a:graphicFrameLocks noChangeAspect="1"/>
                  </wp:cNvGraphicFramePr>
                  <a:graphic>
                    <a:graphicData uri="http://schemas.openxmlformats.org/drawingml/2006/picture">
                      <pic:pic>
                        <pic:nvPicPr>
                          <pic:cNvPr id="0" name="top_cities.png"/>
                          <pic:cNvPicPr/>
                        </pic:nvPicPr>
                        <pic:blipFill>
                          <a:blip r:embed="rId14"/>
                          <a:stretch>
                            <a:fillRect/>
                          </a:stretch>
                        </pic:blipFill>
                        <pic:spPr>
                          <a:xfrm>
                            <a:off x="0" y="0"/>
                            <a:ext cx="2944368" cy="1857217"/>
                          </a:xfrm>
                          <a:prstGeom prst="rect"/>
                        </pic:spPr>
                      </pic:pic>
                    </a:graphicData>
                  </a:graphic>
                </wp:inline>
              </w:drawing>
            </w:r>
          </w:p>
        </w:tc>
      </w:tr>
    </w:tbl>
    <w:p>
      <w:pPr>
        <w:spacing w:before="120"/>
      </w:pPr>
      <w:r>
        <w:t>California generates $457,688 in sales, followed by New York at $310,876 and Texas at $170,188. At city level, New York City leads with $256,368, ahead of Los Angeles at $175,851. The state and city views add geographic detail to the regional comparison.</w:t>
      </w:r>
    </w:p>
    <w:p>
      <w:r>
        <w:br w:type="page"/>
      </w:r>
    </w:p>
    <w:p>
      <w:pPr>
        <w:pStyle w:val="Heading1"/>
      </w:pPr>
      <w:r>
        <w:t>Top revenue drivers: products and customers</w:t>
      </w:r>
    </w:p>
    <w:p>
      <w:r>
        <w:t>The leading product is the Canon imageCLASS 2200 Advanced Copier at $61,600. The top ten products generate 10.6% of total revenue, showing that sales are spread across a broad catalog. Sean Miller leads customer sales at $25,043; the top ten customers together account for 6.7% of revenue.</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84"/>
        <w:gridCol w:w="5184"/>
      </w:tblGrid>
      <w:tr>
        <w:tc>
          <w:tcPr>
            <w:tcW w:type="dxa" w:w="4896"/>
          </w:tcPr>
          <w:p>
            <w:pPr>
              <w:spacing w:after="0"/>
              <w:jc w:val="center"/>
            </w:pPr>
            <w:r>
              <w:drawing>
                <wp:inline xmlns:a="http://schemas.openxmlformats.org/drawingml/2006/main" xmlns:pic="http://schemas.openxmlformats.org/drawingml/2006/picture">
                  <wp:extent cx="2944368" cy="1857217"/>
                  <wp:docPr id="5" name="Picture 5" descr="Top ten products ranked by total sales."/>
                  <wp:cNvGraphicFramePr>
                    <a:graphicFrameLocks noChangeAspect="1"/>
                  </wp:cNvGraphicFramePr>
                  <a:graphic>
                    <a:graphicData uri="http://schemas.openxmlformats.org/drawingml/2006/picture">
                      <pic:pic>
                        <pic:nvPicPr>
                          <pic:cNvPr id="0" name="top_products.png"/>
                          <pic:cNvPicPr/>
                        </pic:nvPicPr>
                        <pic:blipFill>
                          <a:blip r:embed="rId15"/>
                          <a:stretch>
                            <a:fillRect/>
                          </a:stretch>
                        </pic:blipFill>
                        <pic:spPr>
                          <a:xfrm>
                            <a:off x="0" y="0"/>
                            <a:ext cx="2944368" cy="1857217"/>
                          </a:xfrm>
                          <a:prstGeom prst="rect"/>
                        </pic:spPr>
                      </pic:pic>
                    </a:graphicData>
                  </a:graphic>
                </wp:inline>
              </w:drawing>
            </w:r>
          </w:p>
        </w:tc>
        <w:tc>
          <w:tcPr>
            <w:tcW w:type="dxa" w:w="4896"/>
          </w:tcPr>
          <w:p>
            <w:pPr>
              <w:spacing w:after="0"/>
              <w:jc w:val="center"/>
            </w:pPr>
            <w:r>
              <w:drawing>
                <wp:inline xmlns:a="http://schemas.openxmlformats.org/drawingml/2006/main" xmlns:pic="http://schemas.openxmlformats.org/drawingml/2006/picture">
                  <wp:extent cx="2944368" cy="1857217"/>
                  <wp:docPr id="6" name="Picture 6" descr="Top ten customers ranked by total sales."/>
                  <wp:cNvGraphicFramePr>
                    <a:graphicFrameLocks noChangeAspect="1"/>
                  </wp:cNvGraphicFramePr>
                  <a:graphic>
                    <a:graphicData uri="http://schemas.openxmlformats.org/drawingml/2006/picture">
                      <pic:pic>
                        <pic:nvPicPr>
                          <pic:cNvPr id="0" name="top_customers.png"/>
                          <pic:cNvPicPr/>
                        </pic:nvPicPr>
                        <pic:blipFill>
                          <a:blip r:embed="rId16"/>
                          <a:stretch>
                            <a:fillRect/>
                          </a:stretch>
                        </pic:blipFill>
                        <pic:spPr>
                          <a:xfrm>
                            <a:off x="0" y="0"/>
                            <a:ext cx="2944368" cy="1857217"/>
                          </a:xfrm>
                          <a:prstGeom prst="rect"/>
                        </pic:spPr>
                      </pic:pic>
                    </a:graphicData>
                  </a:graphic>
                </wp:inline>
              </w:drawing>
            </w:r>
          </w:p>
        </w:tc>
      </w:tr>
    </w:tbl>
    <w:tbl>
      <w:tblPr>
        <w:tblW w:type="auto" w:w="0"/>
        <w:jc w:val="center"/>
        <w:tblLayout w:type="fixed"/>
        <w:tblLook w:firstColumn="1" w:firstRow="1" w:lastColumn="0" w:lastRow="0" w:noHBand="0" w:noVBand="1" w:val="04A0"/>
        <w:tblBorders>
          <w:top w:val="single" w:sz="3" w:color="D9E1E8"/>
          <w:left w:val="single" w:sz="3" w:color="D9E1E8"/>
          <w:bottom w:val="single" w:sz="3" w:color="D9E1E8"/>
          <w:right w:val="single" w:sz="3" w:color="D9E1E8"/>
          <w:insideH w:val="single" w:sz="3" w:color="D9E1E8"/>
          <w:insideV w:val="single" w:sz="3" w:color="D9E1E8"/>
        </w:tblBorders>
      </w:tblPr>
      <w:tblGrid>
        <w:gridCol w:w="1728"/>
        <w:gridCol w:w="1728"/>
        <w:gridCol w:w="1728"/>
        <w:gridCol w:w="1728"/>
        <w:gridCol w:w="1728"/>
        <w:gridCol w:w="1728"/>
      </w:tblGrid>
      <w:tr>
        <w:trPr>
          <w:tblHeader w:val="true"/>
        </w:trPr>
        <w:tc>
          <w:tcPr>
            <w:tcW w:type="dxa" w:w="490"/>
            <w:vAlign w:val="center"/>
            <w:tcMar>
              <w:top w:w="80" w:type="dxa"/>
              <w:start w:w="90" w:type="dxa"/>
              <w:bottom w:w="80" w:type="dxa"/>
              <w:end w:w="90" w:type="dxa"/>
            </w:tcMar>
            <w:shd w:fill="16324F"/>
          </w:tcPr>
          <w:p>
            <w:pPr>
              <w:spacing w:before="0" w:after="0"/>
              <w:jc w:val="center"/>
            </w:pPr>
            <w:r/>
            <w:r>
              <w:rPr>
                <w:rFonts w:ascii="Arial" w:hAnsi="Arial"/>
                <w:b/>
                <w:color w:val="FFFFFF"/>
                <w:sz w:val="16"/>
              </w:rPr>
              <w:t>#</w:t>
            </w:r>
          </w:p>
        </w:tc>
        <w:tc>
          <w:tcPr>
            <w:tcW w:type="dxa" w:w="3672"/>
            <w:vAlign w:val="center"/>
            <w:tcMar>
              <w:top w:w="80" w:type="dxa"/>
              <w:start w:w="90" w:type="dxa"/>
              <w:bottom w:w="80" w:type="dxa"/>
              <w:end w:w="90" w:type="dxa"/>
            </w:tcMar>
            <w:shd w:fill="16324F"/>
          </w:tcPr>
          <w:p>
            <w:pPr>
              <w:spacing w:before="0" w:after="0"/>
              <w:jc w:val="center"/>
            </w:pPr>
            <w:r/>
            <w:r>
              <w:rPr>
                <w:rFonts w:ascii="Arial" w:hAnsi="Arial"/>
                <w:b/>
                <w:color w:val="FFFFFF"/>
                <w:sz w:val="16"/>
              </w:rPr>
              <w:t>Top products</w:t>
            </w:r>
          </w:p>
        </w:tc>
        <w:tc>
          <w:tcPr>
            <w:tcW w:type="dxa" w:w="1080"/>
            <w:vAlign w:val="center"/>
            <w:tcMar>
              <w:top w:w="80" w:type="dxa"/>
              <w:start w:w="90" w:type="dxa"/>
              <w:bottom w:w="80" w:type="dxa"/>
              <w:end w:w="90" w:type="dxa"/>
            </w:tcMar>
            <w:shd w:fill="16324F"/>
          </w:tcPr>
          <w:p>
            <w:pPr>
              <w:spacing w:before="0" w:after="0"/>
              <w:jc w:val="center"/>
            </w:pPr>
            <w:r/>
            <w:r>
              <w:rPr>
                <w:rFonts w:ascii="Arial" w:hAnsi="Arial"/>
                <w:b/>
                <w:color w:val="FFFFFF"/>
                <w:sz w:val="16"/>
              </w:rPr>
              <w:t>Sales</w:t>
            </w:r>
          </w:p>
        </w:tc>
        <w:tc>
          <w:tcPr>
            <w:tcW w:type="dxa" w:w="490"/>
            <w:vAlign w:val="center"/>
            <w:tcMar>
              <w:top w:w="80" w:type="dxa"/>
              <w:start w:w="90" w:type="dxa"/>
              <w:bottom w:w="80" w:type="dxa"/>
              <w:end w:w="90" w:type="dxa"/>
            </w:tcMar>
            <w:shd w:fill="16324F"/>
          </w:tcPr>
          <w:p>
            <w:pPr>
              <w:spacing w:before="0" w:after="0"/>
              <w:jc w:val="center"/>
            </w:pPr>
            <w:r/>
            <w:r>
              <w:rPr>
                <w:rFonts w:ascii="Arial" w:hAnsi="Arial"/>
                <w:b/>
                <w:color w:val="FFFFFF"/>
                <w:sz w:val="16"/>
              </w:rPr>
              <w:t>#</w:t>
            </w:r>
          </w:p>
        </w:tc>
        <w:tc>
          <w:tcPr>
            <w:tcW w:type="dxa" w:w="2232"/>
            <w:vAlign w:val="center"/>
            <w:tcMar>
              <w:top w:w="80" w:type="dxa"/>
              <w:start w:w="90" w:type="dxa"/>
              <w:bottom w:w="80" w:type="dxa"/>
              <w:end w:w="90" w:type="dxa"/>
            </w:tcMar>
            <w:shd w:fill="16324F"/>
          </w:tcPr>
          <w:p>
            <w:pPr>
              <w:spacing w:before="0" w:after="0"/>
              <w:jc w:val="center"/>
            </w:pPr>
            <w:r/>
            <w:r>
              <w:rPr>
                <w:rFonts w:ascii="Arial" w:hAnsi="Arial"/>
                <w:b/>
                <w:color w:val="FFFFFF"/>
                <w:sz w:val="16"/>
              </w:rPr>
              <w:t>Top customers</w:t>
            </w:r>
          </w:p>
        </w:tc>
        <w:tc>
          <w:tcPr>
            <w:tcW w:type="dxa" w:w="1080"/>
            <w:vAlign w:val="center"/>
            <w:tcMar>
              <w:top w:w="80" w:type="dxa"/>
              <w:start w:w="90" w:type="dxa"/>
              <w:bottom w:w="80" w:type="dxa"/>
              <w:end w:w="90" w:type="dxa"/>
            </w:tcMar>
            <w:shd w:fill="16324F"/>
          </w:tcPr>
          <w:p>
            <w:pPr>
              <w:spacing w:before="0" w:after="0"/>
              <w:jc w:val="center"/>
            </w:pPr>
            <w:r/>
            <w:r>
              <w:rPr>
                <w:rFonts w:ascii="Arial" w:hAnsi="Arial"/>
                <w:b/>
                <w:color w:val="FFFFFF"/>
                <w:sz w:val="16"/>
              </w:rPr>
              <w:t>Sales</w:t>
            </w:r>
          </w:p>
        </w:tc>
      </w:tr>
      <w:tr>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1</w:t>
            </w:r>
          </w:p>
        </w:tc>
        <w:tc>
          <w:tcPr>
            <w:tcW w:type="dxa" w:w="3672"/>
            <w:vAlign w:val="center"/>
            <w:tcMar>
              <w:top w:w="80" w:type="dxa"/>
              <w:start w:w="90" w:type="dxa"/>
              <w:bottom w:w="80" w:type="dxa"/>
              <w:end w:w="90" w:type="dxa"/>
            </w:tcMar>
          </w:tcPr>
          <w:p>
            <w:pPr>
              <w:spacing w:before="0" w:after="0"/>
            </w:pPr>
            <w:r/>
            <w:r>
              <w:rPr>
                <w:rFonts w:ascii="Arial" w:hAnsi="Arial"/>
                <w:b w:val="0"/>
                <w:color w:val="243746"/>
                <w:sz w:val="14"/>
              </w:rPr>
              <w:t>Canon imageCLASS 2200 Advanced Copier</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$61,600</w:t>
            </w:r>
          </w:p>
        </w:tc>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1</w:t>
            </w:r>
          </w:p>
        </w:tc>
        <w:tc>
          <w:tcPr>
            <w:tcW w:type="dxa" w:w="2232"/>
            <w:vAlign w:val="center"/>
            <w:tcMar>
              <w:top w:w="80" w:type="dxa"/>
              <w:start w:w="90" w:type="dxa"/>
              <w:bottom w:w="80" w:type="dxa"/>
              <w:end w:w="90" w:type="dxa"/>
            </w:tcMar>
          </w:tcPr>
          <w:p>
            <w:pPr>
              <w:spacing w:before="0" w:after="0"/>
            </w:pPr>
            <w:r/>
            <w:r>
              <w:rPr>
                <w:rFonts w:ascii="Arial" w:hAnsi="Arial"/>
                <w:b w:val="0"/>
                <w:color w:val="243746"/>
                <w:sz w:val="14"/>
              </w:rPr>
              <w:t>Sean Miller (SM-20320)</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$25,043</w:t>
            </w:r>
          </w:p>
        </w:tc>
      </w:tr>
      <w:tr>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2</w:t>
            </w:r>
          </w:p>
        </w:tc>
        <w:tc>
          <w:tcPr>
            <w:tcW w:type="dxa" w:w="3672"/>
            <w:vAlign w:val="center"/>
            <w:tcMar>
              <w:top w:w="80" w:type="dxa"/>
              <w:start w:w="90" w:type="dxa"/>
              <w:bottom w:w="80" w:type="dxa"/>
              <w:end w:w="90" w:type="dxa"/>
            </w:tcMar>
            <w:shd w:fill="F5F8FA"/>
          </w:tcPr>
          <w:p>
            <w:pPr>
              <w:spacing w:before="0" w:after="0"/>
            </w:pPr>
            <w:r/>
            <w:r>
              <w:rPr>
                <w:rFonts w:ascii="Arial" w:hAnsi="Arial"/>
                <w:b w:val="0"/>
                <w:color w:val="243746"/>
                <w:sz w:val="14"/>
              </w:rPr>
              <w:t>Fellowes PB500 Electric Punch Plastic Comb Binding Machine with Manual Bind</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$27,453</w:t>
            </w:r>
          </w:p>
        </w:tc>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2</w:t>
            </w:r>
          </w:p>
        </w:tc>
        <w:tc>
          <w:tcPr>
            <w:tcW w:type="dxa" w:w="2232"/>
            <w:vAlign w:val="center"/>
            <w:tcMar>
              <w:top w:w="80" w:type="dxa"/>
              <w:start w:w="90" w:type="dxa"/>
              <w:bottom w:w="80" w:type="dxa"/>
              <w:end w:w="90" w:type="dxa"/>
            </w:tcMar>
            <w:shd w:fill="F5F8FA"/>
          </w:tcPr>
          <w:p>
            <w:pPr>
              <w:spacing w:before="0" w:after="0"/>
            </w:pPr>
            <w:r/>
            <w:r>
              <w:rPr>
                <w:rFonts w:ascii="Arial" w:hAnsi="Arial"/>
                <w:b w:val="0"/>
                <w:color w:val="243746"/>
                <w:sz w:val="14"/>
              </w:rPr>
              <w:t>Tamara Chand (TC-20980)</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$19,052</w:t>
            </w:r>
          </w:p>
        </w:tc>
      </w:tr>
      <w:tr>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3</w:t>
            </w:r>
          </w:p>
        </w:tc>
        <w:tc>
          <w:tcPr>
            <w:tcW w:type="dxa" w:w="3672"/>
            <w:vAlign w:val="center"/>
            <w:tcMar>
              <w:top w:w="80" w:type="dxa"/>
              <w:start w:w="90" w:type="dxa"/>
              <w:bottom w:w="80" w:type="dxa"/>
              <w:end w:w="90" w:type="dxa"/>
            </w:tcMar>
          </w:tcPr>
          <w:p>
            <w:pPr>
              <w:spacing w:before="0" w:after="0"/>
            </w:pPr>
            <w:r/>
            <w:r>
              <w:rPr>
                <w:rFonts w:ascii="Arial" w:hAnsi="Arial"/>
                <w:b w:val="0"/>
                <w:color w:val="243746"/>
                <w:sz w:val="14"/>
              </w:rPr>
              <w:t>Cisco TelePresence System EX90 Videoconferencing Unit</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$22,638</w:t>
            </w:r>
          </w:p>
        </w:tc>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3</w:t>
            </w:r>
          </w:p>
        </w:tc>
        <w:tc>
          <w:tcPr>
            <w:tcW w:type="dxa" w:w="2232"/>
            <w:vAlign w:val="center"/>
            <w:tcMar>
              <w:top w:w="80" w:type="dxa"/>
              <w:start w:w="90" w:type="dxa"/>
              <w:bottom w:w="80" w:type="dxa"/>
              <w:end w:w="90" w:type="dxa"/>
            </w:tcMar>
          </w:tcPr>
          <w:p>
            <w:pPr>
              <w:spacing w:before="0" w:after="0"/>
            </w:pPr>
            <w:r/>
            <w:r>
              <w:rPr>
                <w:rFonts w:ascii="Arial" w:hAnsi="Arial"/>
                <w:b w:val="0"/>
                <w:color w:val="243746"/>
                <w:sz w:val="14"/>
              </w:rPr>
              <w:t>Raymond Buch (RB-19360)</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$15,117</w:t>
            </w:r>
          </w:p>
        </w:tc>
      </w:tr>
      <w:tr>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4</w:t>
            </w:r>
          </w:p>
        </w:tc>
        <w:tc>
          <w:tcPr>
            <w:tcW w:type="dxa" w:w="3672"/>
            <w:vAlign w:val="center"/>
            <w:tcMar>
              <w:top w:w="80" w:type="dxa"/>
              <w:start w:w="90" w:type="dxa"/>
              <w:bottom w:w="80" w:type="dxa"/>
              <w:end w:w="90" w:type="dxa"/>
            </w:tcMar>
            <w:shd w:fill="F5F8FA"/>
          </w:tcPr>
          <w:p>
            <w:pPr>
              <w:spacing w:before="0" w:after="0"/>
            </w:pPr>
            <w:r/>
            <w:r>
              <w:rPr>
                <w:rFonts w:ascii="Arial" w:hAnsi="Arial"/>
                <w:b w:val="0"/>
                <w:color w:val="243746"/>
                <w:sz w:val="14"/>
              </w:rPr>
              <w:t>HON 5400 Series Task Chairs for Big and Tall</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$21,871</w:t>
            </w:r>
          </w:p>
        </w:tc>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4</w:t>
            </w:r>
          </w:p>
        </w:tc>
        <w:tc>
          <w:tcPr>
            <w:tcW w:type="dxa" w:w="2232"/>
            <w:vAlign w:val="center"/>
            <w:tcMar>
              <w:top w:w="80" w:type="dxa"/>
              <w:start w:w="90" w:type="dxa"/>
              <w:bottom w:w="80" w:type="dxa"/>
              <w:end w:w="90" w:type="dxa"/>
            </w:tcMar>
            <w:shd w:fill="F5F8FA"/>
          </w:tcPr>
          <w:p>
            <w:pPr>
              <w:spacing w:before="0" w:after="0"/>
            </w:pPr>
            <w:r/>
            <w:r>
              <w:rPr>
                <w:rFonts w:ascii="Arial" w:hAnsi="Arial"/>
                <w:b w:val="0"/>
                <w:color w:val="243746"/>
                <w:sz w:val="14"/>
              </w:rPr>
              <w:t>Tom Ashbrook (TA-21385)</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$14,596</w:t>
            </w:r>
          </w:p>
        </w:tc>
      </w:tr>
      <w:tr>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5</w:t>
            </w:r>
          </w:p>
        </w:tc>
        <w:tc>
          <w:tcPr>
            <w:tcW w:type="dxa" w:w="3672"/>
            <w:vAlign w:val="center"/>
            <w:tcMar>
              <w:top w:w="80" w:type="dxa"/>
              <w:start w:w="90" w:type="dxa"/>
              <w:bottom w:w="80" w:type="dxa"/>
              <w:end w:w="90" w:type="dxa"/>
            </w:tcMar>
          </w:tcPr>
          <w:p>
            <w:pPr>
              <w:spacing w:before="0" w:after="0"/>
            </w:pPr>
            <w:r/>
            <w:r>
              <w:rPr>
                <w:rFonts w:ascii="Arial" w:hAnsi="Arial"/>
                <w:b w:val="0"/>
                <w:color w:val="243746"/>
                <w:sz w:val="14"/>
              </w:rPr>
              <w:t>GBC DocuBind TL300 Electric Binding System</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$19,823</w:t>
            </w:r>
          </w:p>
        </w:tc>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5</w:t>
            </w:r>
          </w:p>
        </w:tc>
        <w:tc>
          <w:tcPr>
            <w:tcW w:type="dxa" w:w="2232"/>
            <w:vAlign w:val="center"/>
            <w:tcMar>
              <w:top w:w="80" w:type="dxa"/>
              <w:start w:w="90" w:type="dxa"/>
              <w:bottom w:w="80" w:type="dxa"/>
              <w:end w:w="90" w:type="dxa"/>
            </w:tcMar>
          </w:tcPr>
          <w:p>
            <w:pPr>
              <w:spacing w:before="0" w:after="0"/>
            </w:pPr>
            <w:r/>
            <w:r>
              <w:rPr>
                <w:rFonts w:ascii="Arial" w:hAnsi="Arial"/>
                <w:b w:val="0"/>
                <w:color w:val="243746"/>
                <w:sz w:val="14"/>
              </w:rPr>
              <w:t>Adrian Barton (AB-10105)</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$14,474</w:t>
            </w:r>
          </w:p>
        </w:tc>
      </w:tr>
      <w:tr>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6</w:t>
            </w:r>
          </w:p>
        </w:tc>
        <w:tc>
          <w:tcPr>
            <w:tcW w:type="dxa" w:w="3672"/>
            <w:vAlign w:val="center"/>
            <w:tcMar>
              <w:top w:w="80" w:type="dxa"/>
              <w:start w:w="90" w:type="dxa"/>
              <w:bottom w:w="80" w:type="dxa"/>
              <w:end w:w="90" w:type="dxa"/>
            </w:tcMar>
            <w:shd w:fill="F5F8FA"/>
          </w:tcPr>
          <w:p>
            <w:pPr>
              <w:spacing w:before="0" w:after="0"/>
            </w:pPr>
            <w:r/>
            <w:r>
              <w:rPr>
                <w:rFonts w:ascii="Arial" w:hAnsi="Arial"/>
                <w:b w:val="0"/>
                <w:color w:val="243746"/>
                <w:sz w:val="14"/>
              </w:rPr>
              <w:t>GBC Ibimaster 500 Manual ProClick Binding System</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$19,024</w:t>
            </w:r>
          </w:p>
        </w:tc>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6</w:t>
            </w:r>
          </w:p>
        </w:tc>
        <w:tc>
          <w:tcPr>
            <w:tcW w:type="dxa" w:w="2232"/>
            <w:vAlign w:val="center"/>
            <w:tcMar>
              <w:top w:w="80" w:type="dxa"/>
              <w:start w:w="90" w:type="dxa"/>
              <w:bottom w:w="80" w:type="dxa"/>
              <w:end w:w="90" w:type="dxa"/>
            </w:tcMar>
            <w:shd w:fill="F5F8FA"/>
          </w:tcPr>
          <w:p>
            <w:pPr>
              <w:spacing w:before="0" w:after="0"/>
            </w:pPr>
            <w:r/>
            <w:r>
              <w:rPr>
                <w:rFonts w:ascii="Arial" w:hAnsi="Arial"/>
                <w:b w:val="0"/>
                <w:color w:val="243746"/>
                <w:sz w:val="14"/>
              </w:rPr>
              <w:t>Ken Lonsdale (KL-16645)</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$14,175</w:t>
            </w:r>
          </w:p>
        </w:tc>
      </w:tr>
      <w:tr>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7</w:t>
            </w:r>
          </w:p>
        </w:tc>
        <w:tc>
          <w:tcPr>
            <w:tcW w:type="dxa" w:w="3672"/>
            <w:vAlign w:val="center"/>
            <w:tcMar>
              <w:top w:w="80" w:type="dxa"/>
              <w:start w:w="90" w:type="dxa"/>
              <w:bottom w:w="80" w:type="dxa"/>
              <w:end w:w="90" w:type="dxa"/>
            </w:tcMar>
          </w:tcPr>
          <w:p>
            <w:pPr>
              <w:spacing w:before="0" w:after="0"/>
            </w:pPr>
            <w:r/>
            <w:r>
              <w:rPr>
                <w:rFonts w:ascii="Arial" w:hAnsi="Arial"/>
                <w:b w:val="0"/>
                <w:color w:val="243746"/>
                <w:sz w:val="14"/>
              </w:rPr>
              <w:t>Hewlett Packard LaserJet 3310 Copier</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$18,840</w:t>
            </w:r>
          </w:p>
        </w:tc>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7</w:t>
            </w:r>
          </w:p>
        </w:tc>
        <w:tc>
          <w:tcPr>
            <w:tcW w:type="dxa" w:w="2232"/>
            <w:vAlign w:val="center"/>
            <w:tcMar>
              <w:top w:w="80" w:type="dxa"/>
              <w:start w:w="90" w:type="dxa"/>
              <w:bottom w:w="80" w:type="dxa"/>
              <w:end w:w="90" w:type="dxa"/>
            </w:tcMar>
          </w:tcPr>
          <w:p>
            <w:pPr>
              <w:spacing w:before="0" w:after="0"/>
            </w:pPr>
            <w:r/>
            <w:r>
              <w:rPr>
                <w:rFonts w:ascii="Arial" w:hAnsi="Arial"/>
                <w:b w:val="0"/>
                <w:color w:val="243746"/>
                <w:sz w:val="14"/>
              </w:rPr>
              <w:t>Sanjit Chand (SC-20095)</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$14,142</w:t>
            </w:r>
          </w:p>
        </w:tc>
      </w:tr>
      <w:tr>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8</w:t>
            </w:r>
          </w:p>
        </w:tc>
        <w:tc>
          <w:tcPr>
            <w:tcW w:type="dxa" w:w="3672"/>
            <w:vAlign w:val="center"/>
            <w:tcMar>
              <w:top w:w="80" w:type="dxa"/>
              <w:start w:w="90" w:type="dxa"/>
              <w:bottom w:w="80" w:type="dxa"/>
              <w:end w:w="90" w:type="dxa"/>
            </w:tcMar>
            <w:shd w:fill="F5F8FA"/>
          </w:tcPr>
          <w:p>
            <w:pPr>
              <w:spacing w:before="0" w:after="0"/>
            </w:pPr>
            <w:r/>
            <w:r>
              <w:rPr>
                <w:rFonts w:ascii="Arial" w:hAnsi="Arial"/>
                <w:b w:val="0"/>
                <w:color w:val="243746"/>
                <w:sz w:val="14"/>
              </w:rPr>
              <w:t>HP Designjet T520 Inkjet Large Format Printer - 24" Color</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$18,375</w:t>
            </w:r>
          </w:p>
        </w:tc>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8</w:t>
            </w:r>
          </w:p>
        </w:tc>
        <w:tc>
          <w:tcPr>
            <w:tcW w:type="dxa" w:w="2232"/>
            <w:vAlign w:val="center"/>
            <w:tcMar>
              <w:top w:w="80" w:type="dxa"/>
              <w:start w:w="90" w:type="dxa"/>
              <w:bottom w:w="80" w:type="dxa"/>
              <w:end w:w="90" w:type="dxa"/>
            </w:tcMar>
            <w:shd w:fill="F5F8FA"/>
          </w:tcPr>
          <w:p>
            <w:pPr>
              <w:spacing w:before="0" w:after="0"/>
            </w:pPr>
            <w:r/>
            <w:r>
              <w:rPr>
                <w:rFonts w:ascii="Arial" w:hAnsi="Arial"/>
                <w:b w:val="0"/>
                <w:color w:val="243746"/>
                <w:sz w:val="14"/>
              </w:rPr>
              <w:t>Hunter Lopez (HL-15040)</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$12,873</w:t>
            </w:r>
          </w:p>
        </w:tc>
      </w:tr>
      <w:tr>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9</w:t>
            </w:r>
          </w:p>
        </w:tc>
        <w:tc>
          <w:tcPr>
            <w:tcW w:type="dxa" w:w="3672"/>
            <w:vAlign w:val="center"/>
            <w:tcMar>
              <w:top w:w="80" w:type="dxa"/>
              <w:start w:w="90" w:type="dxa"/>
              <w:bottom w:w="80" w:type="dxa"/>
              <w:end w:w="90" w:type="dxa"/>
            </w:tcMar>
          </w:tcPr>
          <w:p>
            <w:pPr>
              <w:spacing w:before="0" w:after="0"/>
            </w:pPr>
            <w:r/>
            <w:r>
              <w:rPr>
                <w:rFonts w:ascii="Arial" w:hAnsi="Arial"/>
                <w:b w:val="0"/>
                <w:color w:val="243746"/>
                <w:sz w:val="14"/>
              </w:rPr>
              <w:t>GBC DocuBind P400 Electric Binding System</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$17,965</w:t>
            </w:r>
          </w:p>
        </w:tc>
        <w:tc>
          <w:tcPr>
            <w:tcW w:type="dxa" w:w="490"/>
            <w:vAlign w:val="center"/>
            <w:tcMar>
              <w:top w:w="80" w:type="dxa"/>
              <w:start w:w="90" w:type="dxa"/>
              <w:bottom w:w="80" w:type="dxa"/>
              <w:end w:w="90" w:type="dxa"/>
            </w:tcMar>
          </w:tcPr>
          <w:p>
            <w:pPr>
              <w:spacing w:before="0" w:after="0"/>
              <w:jc w:val="center"/>
            </w:pPr>
            <w:r/>
            <w:r>
              <w:rPr>
                <w:rFonts w:ascii="Arial" w:hAnsi="Arial"/>
                <w:b w:val="0"/>
                <w:color w:val="243746"/>
                <w:sz w:val="14"/>
              </w:rPr>
              <w:t>9</w:t>
            </w:r>
          </w:p>
        </w:tc>
        <w:tc>
          <w:tcPr>
            <w:tcW w:type="dxa" w:w="2232"/>
            <w:vAlign w:val="center"/>
            <w:tcMar>
              <w:top w:w="80" w:type="dxa"/>
              <w:start w:w="90" w:type="dxa"/>
              <w:bottom w:w="80" w:type="dxa"/>
              <w:end w:w="90" w:type="dxa"/>
            </w:tcMar>
          </w:tcPr>
          <w:p>
            <w:pPr>
              <w:spacing w:before="0" w:after="0"/>
            </w:pPr>
            <w:r/>
            <w:r>
              <w:rPr>
                <w:rFonts w:ascii="Arial" w:hAnsi="Arial"/>
                <w:b w:val="0"/>
                <w:color w:val="243746"/>
                <w:sz w:val="14"/>
              </w:rPr>
              <w:t>Sanjit Engle (SE-20110)</w:t>
            </w:r>
          </w:p>
        </w:tc>
        <w:tc>
          <w:tcPr>
            <w:tcW w:type="dxa" w:w="1080"/>
            <w:vAlign w:val="center"/>
            <w:tcMar>
              <w:top w:w="80" w:type="dxa"/>
              <w:start w:w="90" w:type="dxa"/>
              <w:bottom w:w="80" w:type="dxa"/>
              <w:end w:w="90" w:type="dxa"/>
            </w:tcMar>
          </w:tcPr>
          <w:p>
            <w:pPr>
              <w:spacing w:before="0" w:after="0"/>
              <w:jc w:val="center"/>
            </w:pPr>
            <w:r/>
            <w:r>
              <w:rPr>
                <w:rFonts w:ascii="Arial" w:hAnsi="Arial"/>
                <w:b w:val="0"/>
                <w:color w:val="243746"/>
                <w:sz w:val="14"/>
              </w:rPr>
              <w:t>$12,209</w:t>
            </w:r>
          </w:p>
        </w:tc>
      </w:tr>
      <w:tr>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10</w:t>
            </w:r>
          </w:p>
        </w:tc>
        <w:tc>
          <w:tcPr>
            <w:tcW w:type="dxa" w:w="3672"/>
            <w:vAlign w:val="center"/>
            <w:tcMar>
              <w:top w:w="80" w:type="dxa"/>
              <w:start w:w="90" w:type="dxa"/>
              <w:bottom w:w="80" w:type="dxa"/>
              <w:end w:w="90" w:type="dxa"/>
            </w:tcMar>
            <w:shd w:fill="F5F8FA"/>
          </w:tcPr>
          <w:p>
            <w:pPr>
              <w:spacing w:before="0" w:after="0"/>
            </w:pPr>
            <w:r/>
            <w:r>
              <w:rPr>
                <w:rFonts w:ascii="Arial" w:hAnsi="Arial"/>
                <w:b w:val="0"/>
                <w:color w:val="243746"/>
                <w:sz w:val="14"/>
              </w:rPr>
              <w:t>High Speed Automatic Electric Letter Opener</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$17,030</w:t>
            </w:r>
          </w:p>
        </w:tc>
        <w:tc>
          <w:tcPr>
            <w:tcW w:type="dxa" w:w="49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10</w:t>
            </w:r>
          </w:p>
        </w:tc>
        <w:tc>
          <w:tcPr>
            <w:tcW w:type="dxa" w:w="2232"/>
            <w:vAlign w:val="center"/>
            <w:tcMar>
              <w:top w:w="80" w:type="dxa"/>
              <w:start w:w="90" w:type="dxa"/>
              <w:bottom w:w="80" w:type="dxa"/>
              <w:end w:w="90" w:type="dxa"/>
            </w:tcMar>
            <w:shd w:fill="F5F8FA"/>
          </w:tcPr>
          <w:p>
            <w:pPr>
              <w:spacing w:before="0" w:after="0"/>
            </w:pPr>
            <w:r/>
            <w:r>
              <w:rPr>
                <w:rFonts w:ascii="Arial" w:hAnsi="Arial"/>
                <w:b w:val="0"/>
                <w:color w:val="243746"/>
                <w:sz w:val="14"/>
              </w:rPr>
              <w:t>Christopher Conant (CC-12370)</w:t>
            </w:r>
          </w:p>
        </w:tc>
        <w:tc>
          <w:tcPr>
            <w:tcW w:type="dxa" w:w="1080"/>
            <w:vAlign w:val="center"/>
            <w:tcMar>
              <w:top w:w="80" w:type="dxa"/>
              <w:start w:w="90" w:type="dxa"/>
              <w:bottom w:w="80" w:type="dxa"/>
              <w:end w:w="90" w:type="dxa"/>
            </w:tcMar>
            <w:shd w:fill="F5F8FA"/>
          </w:tcPr>
          <w:p>
            <w:pPr>
              <w:spacing w:before="0" w:after="0"/>
              <w:jc w:val="center"/>
            </w:pPr>
            <w:r/>
            <w:r>
              <w:rPr>
                <w:rFonts w:ascii="Arial" w:hAnsi="Arial"/>
                <w:b w:val="0"/>
                <w:color w:val="243746"/>
                <w:sz w:val="14"/>
              </w:rPr>
              <w:t>$12,129</w:t>
            </w:r>
          </w:p>
        </w:tc>
      </w:tr>
    </w:tbl>
    <w:p>
      <w:pPr>
        <w:spacing w:before="100" w:after="0"/>
      </w:pPr>
      <w:r>
        <w:t>Product bars use concise display labels for readability; the complete product names and IDs are retained in the workbook Analysis tab.</w:t>
      </w:r>
    </w:p>
    <w:p>
      <w:r>
        <w:br w:type="page"/>
      </w:r>
    </w:p>
    <w:p>
      <w:pPr>
        <w:pStyle w:val="Heading1"/>
      </w:pPr>
      <w:r>
        <w:t>Sales trends over time</w:t>
      </w:r>
    </w:p>
    <w:p>
      <w:r>
        <w:t>Sales softened slightly in 2015, then grew in each of the next two years. Fourth-quarter sales were the strongest quarter in every year, with 2017 Q4 reaching $280,054. The monthly chart sums each calendar month across 2014–2017; November leads at $352,461, followed by December at $325,294 and September at $307,650. February is the lowest month at $59,751.</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5184"/>
        <w:gridCol w:w="5184"/>
      </w:tblGrid>
      <w:tr>
        <w:tc>
          <w:tcPr>
            <w:tcW w:type="dxa" w:w="4896"/>
          </w:tcPr>
          <w:p>
            <w:pPr>
              <w:spacing w:after="0"/>
              <w:jc w:val="center"/>
            </w:pPr>
            <w:r>
              <w:drawing>
                <wp:inline xmlns:a="http://schemas.openxmlformats.org/drawingml/2006/main" xmlns:pic="http://schemas.openxmlformats.org/drawingml/2006/picture">
                  <wp:extent cx="2944368" cy="1857217"/>
                  <wp:docPr id="7" name="Picture 7" descr="Annual sales trend from 2014 through 2017."/>
                  <wp:cNvGraphicFramePr>
                    <a:graphicFrameLocks noChangeAspect="1"/>
                  </wp:cNvGraphicFramePr>
                  <a:graphic>
                    <a:graphicData uri="http://schemas.openxmlformats.org/drawingml/2006/picture">
                      <pic:pic>
                        <pic:nvPicPr>
                          <pic:cNvPr id="0" name="annual_sales.png"/>
                          <pic:cNvPicPr/>
                        </pic:nvPicPr>
                        <pic:blipFill>
                          <a:blip r:embed="rId17"/>
                          <a:stretch>
                            <a:fillRect/>
                          </a:stretch>
                        </pic:blipFill>
                        <pic:spPr>
                          <a:xfrm>
                            <a:off x="0" y="0"/>
                            <a:ext cx="2944368" cy="1857217"/>
                          </a:xfrm>
                          <a:prstGeom prst="rect"/>
                        </pic:spPr>
                      </pic:pic>
                    </a:graphicData>
                  </a:graphic>
                </wp:inline>
              </w:drawing>
            </w:r>
          </w:p>
        </w:tc>
        <w:tc>
          <w:tcPr>
            <w:tcW w:type="dxa" w:w="4896"/>
          </w:tcPr>
          <w:p>
            <w:pPr>
              <w:spacing w:after="0"/>
              <w:jc w:val="center"/>
            </w:pPr>
            <w:r>
              <w:drawing>
                <wp:inline xmlns:a="http://schemas.openxmlformats.org/drawingml/2006/main" xmlns:pic="http://schemas.openxmlformats.org/drawingml/2006/picture">
                  <wp:extent cx="2944368" cy="1857217"/>
                  <wp:docPr id="8" name="Picture 8" descr="Sales by calendar month, combined across 2014 to 2017."/>
                  <wp:cNvGraphicFramePr>
                    <a:graphicFrameLocks noChangeAspect="1"/>
                  </wp:cNvGraphicFramePr>
                  <a:graphic>
                    <a:graphicData uri="http://schemas.openxmlformats.org/drawingml/2006/picture">
                      <pic:pic>
                        <pic:nvPicPr>
                          <pic:cNvPr id="0" name="monthly_sales.png"/>
                          <pic:cNvPicPr/>
                        </pic:nvPicPr>
                        <pic:blipFill>
                          <a:blip r:embed="rId18"/>
                          <a:stretch>
                            <a:fillRect/>
                          </a:stretch>
                        </pic:blipFill>
                        <pic:spPr>
                          <a:xfrm>
                            <a:off x="0" y="0"/>
                            <a:ext cx="2944368" cy="1857217"/>
                          </a:xfrm>
                          <a:prstGeom prst="rect"/>
                        </pic:spPr>
                      </pic:pic>
                    </a:graphicData>
                  </a:graphic>
                </wp:inline>
              </w:drawing>
            </w:r>
          </w:p>
        </w:tc>
      </w:tr>
    </w:tbl>
    <w:p>
      <w:pPr>
        <w:pStyle w:val="Heading2"/>
      </w:pPr>
      <w:r>
        <w:t>Quarterly sales (USD)</w:t>
      </w:r>
    </w:p>
    <w:tbl>
      <w:tblPr>
        <w:tblW w:type="auto" w:w="0"/>
        <w:jc w:val="center"/>
        <w:tblLayout w:type="fixed"/>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2074"/>
        <w:gridCol w:w="2074"/>
        <w:gridCol w:w="2074"/>
        <w:gridCol w:w="2074"/>
        <w:gridCol w:w="2074"/>
      </w:tblGrid>
      <w:tr>
        <w:trPr>
          <w:tblHeader w:val="true"/>
        </w:trPr>
        <w:tc>
          <w:tcPr>
            <w:tcW w:type="dxa" w:w="2074"/>
            <w:vAlign w:val="center"/>
            <w:tcMar>
              <w:top w:w="80" w:type="dxa"/>
              <w:start w:w="90" w:type="dxa"/>
              <w:bottom w:w="80" w:type="dxa"/>
              <w:end w:w="90" w:type="dxa"/>
            </w:tcMar>
            <w:shd w:fill="16324F"/>
          </w:tcPr>
          <w:p>
            <w:pPr>
              <w:spacing w:before="0" w:after="0"/>
              <w:jc w:val="center"/>
            </w:pPr>
            <w:r/>
            <w:r>
              <w:rPr>
                <w:rFonts w:ascii="Arial" w:hAnsi="Arial"/>
                <w:b/>
                <w:color w:val="FFFFFF"/>
                <w:sz w:val="17"/>
              </w:rPr>
              <w:t>Year</w:t>
            </w:r>
          </w:p>
        </w:tc>
        <w:tc>
          <w:tcPr>
            <w:tcW w:type="dxa" w:w="2074"/>
            <w:vAlign w:val="center"/>
            <w:tcMar>
              <w:top w:w="80" w:type="dxa"/>
              <w:start w:w="90" w:type="dxa"/>
              <w:bottom w:w="80" w:type="dxa"/>
              <w:end w:w="90" w:type="dxa"/>
            </w:tcMar>
            <w:shd w:fill="16324F"/>
          </w:tcPr>
          <w:p>
            <w:pPr>
              <w:spacing w:before="0" w:after="0"/>
              <w:jc w:val="center"/>
            </w:pPr>
            <w:r/>
            <w:r>
              <w:rPr>
                <w:rFonts w:ascii="Arial" w:hAnsi="Arial"/>
                <w:b/>
                <w:color w:val="FFFFFF"/>
                <w:sz w:val="17"/>
              </w:rPr>
              <w:t>Q1</w:t>
            </w:r>
          </w:p>
        </w:tc>
        <w:tc>
          <w:tcPr>
            <w:tcW w:type="dxa" w:w="2074"/>
            <w:vAlign w:val="center"/>
            <w:tcMar>
              <w:top w:w="80" w:type="dxa"/>
              <w:start w:w="90" w:type="dxa"/>
              <w:bottom w:w="80" w:type="dxa"/>
              <w:end w:w="90" w:type="dxa"/>
            </w:tcMar>
            <w:shd w:fill="16324F"/>
          </w:tcPr>
          <w:p>
            <w:pPr>
              <w:spacing w:before="0" w:after="0"/>
              <w:jc w:val="center"/>
            </w:pPr>
            <w:r/>
            <w:r>
              <w:rPr>
                <w:rFonts w:ascii="Arial" w:hAnsi="Arial"/>
                <w:b/>
                <w:color w:val="FFFFFF"/>
                <w:sz w:val="17"/>
              </w:rPr>
              <w:t>Q2</w:t>
            </w:r>
          </w:p>
        </w:tc>
        <w:tc>
          <w:tcPr>
            <w:tcW w:type="dxa" w:w="2074"/>
            <w:vAlign w:val="center"/>
            <w:tcMar>
              <w:top w:w="80" w:type="dxa"/>
              <w:start w:w="90" w:type="dxa"/>
              <w:bottom w:w="80" w:type="dxa"/>
              <w:end w:w="90" w:type="dxa"/>
            </w:tcMar>
            <w:shd w:fill="16324F"/>
          </w:tcPr>
          <w:p>
            <w:pPr>
              <w:spacing w:before="0" w:after="0"/>
              <w:jc w:val="center"/>
            </w:pPr>
            <w:r/>
            <w:r>
              <w:rPr>
                <w:rFonts w:ascii="Arial" w:hAnsi="Arial"/>
                <w:b/>
                <w:color w:val="FFFFFF"/>
                <w:sz w:val="17"/>
              </w:rPr>
              <w:t>Q3</w:t>
            </w:r>
          </w:p>
        </w:tc>
        <w:tc>
          <w:tcPr>
            <w:tcW w:type="dxa" w:w="2074"/>
            <w:vAlign w:val="center"/>
            <w:tcMar>
              <w:top w:w="80" w:type="dxa"/>
              <w:start w:w="90" w:type="dxa"/>
              <w:bottom w:w="80" w:type="dxa"/>
              <w:end w:w="90" w:type="dxa"/>
            </w:tcMar>
            <w:shd w:fill="16324F"/>
          </w:tcPr>
          <w:p>
            <w:pPr>
              <w:spacing w:before="0" w:after="0"/>
              <w:jc w:val="center"/>
            </w:pPr>
            <w:r/>
            <w:r>
              <w:rPr>
                <w:rFonts w:ascii="Arial" w:hAnsi="Arial"/>
                <w:b/>
                <w:color w:val="FFFFFF"/>
                <w:sz w:val="17"/>
              </w:rPr>
              <w:t>Q4</w:t>
            </w:r>
          </w:p>
        </w:tc>
      </w:tr>
      <w:tr>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2014</w:t>
            </w:r>
          </w:p>
        </w:tc>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$74,448</w:t>
            </w:r>
          </w:p>
        </w:tc>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$86,539</w:t>
            </w:r>
          </w:p>
        </w:tc>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$143,633</w:t>
            </w:r>
          </w:p>
        </w:tc>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$179,628</w:t>
            </w:r>
          </w:p>
        </w:tc>
      </w:tr>
      <w:tr>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2015</w:t>
            </w:r>
          </w:p>
        </w:tc>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$68,852</w:t>
            </w:r>
          </w:p>
        </w:tc>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$89,124</w:t>
            </w:r>
          </w:p>
        </w:tc>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$130,260</w:t>
            </w:r>
          </w:p>
        </w:tc>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$182,297</w:t>
            </w:r>
          </w:p>
        </w:tc>
      </w:tr>
      <w:tr>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2016</w:t>
            </w:r>
          </w:p>
        </w:tc>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$93,237</w:t>
            </w:r>
          </w:p>
        </w:tc>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$136,082</w:t>
            </w:r>
          </w:p>
        </w:tc>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$143,787</w:t>
            </w:r>
          </w:p>
        </w:tc>
        <w:tc>
          <w:tcPr>
            <w:tcW w:type="dxa" w:w="2074"/>
            <w:vAlign w:val="center"/>
            <w:tcMar>
              <w:top w:w="80" w:type="dxa"/>
              <w:start w:w="90" w:type="dxa"/>
              <w:bottom w:w="80" w:type="dxa"/>
              <w:end w:w="90" w:type="dxa"/>
            </w:tcMar>
          </w:tcPr>
          <w:p>
            <w:pPr>
              <w:spacing w:before="0" w:after="0"/>
              <w:jc w:val="center"/>
            </w:pPr>
            <w:r/>
            <w:r>
              <w:rPr>
                <w:rFonts w:ascii="Arial" w:hAnsi="Arial"/>
                <w:b w:val="0"/>
                <w:color w:val="243746"/>
                <w:sz w:val="16"/>
              </w:rPr>
              <w:t>$236,099</w:t>
            </w:r>
          </w:p>
        </w:tc>
      </w:tr>
      <w:tr>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2017</w:t>
            </w:r>
          </w:p>
        </w:tc>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$123,145</w:t>
            </w:r>
          </w:p>
        </w:tc>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$133,764</w:t>
            </w:r>
          </w:p>
        </w:tc>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$196,252</w:t>
            </w:r>
          </w:p>
        </w:tc>
        <w:tc>
          <w:tcPr>
            <w:tcW w:type="dxa" w:w="2074"/>
            <w:vAlign w:val="center"/>
            <w:tcMar>
              <w:top w:w="80" w:type="dxa"/>
              <w:start w:w="90" w:type="dxa"/>
              <w:bottom w:w="80" w:type="dxa"/>
              <w:end w:w="90" w:type="dxa"/>
            </w:tcMar>
            <w:shd w:fill="F5F8FA"/>
          </w:tcPr>
          <w:p>
            <w:pPr>
              <w:spacing w:before="0" w:after="0"/>
              <w:jc w:val="center"/>
            </w:pPr>
            <w:r/>
            <w:r>
              <w:rPr>
                <w:rFonts w:ascii="Arial" w:hAnsi="Arial"/>
                <w:b w:val="0"/>
                <w:color w:val="243746"/>
                <w:sz w:val="16"/>
              </w:rPr>
              <w:t>$280,054</w:t>
            </w:r>
          </w:p>
        </w:tc>
      </w:tr>
    </w:tbl>
    <w:p>
      <w:pPr>
        <w:pStyle w:val="Heading2"/>
      </w:pPr>
      <w:r>
        <w:t>What to take forward</w:t>
      </w:r>
    </w:p>
    <w:p>
      <w:pPr>
        <w:pStyle w:val="ListBullet"/>
        <w:spacing w:after="40"/>
      </w:pPr>
      <w:r>
        <w:t>Use the regional, state, and city views to focus follow-up on the West and the largest markets, while retaining visibility on the smaller South region.</w:t>
      </w:r>
    </w:p>
    <w:p>
      <w:pPr>
        <w:pStyle w:val="ListBullet"/>
        <w:spacing w:after="40"/>
      </w:pPr>
      <w:r>
        <w:t>Review profit alongside sales before using the product and customer leaders to shape promotions; the rankings answer revenue questions and do not imply that the highest-selling items are the most profitable.</w:t>
      </w:r>
    </w:p>
    <w:p>
      <w:pPr>
        <w:pStyle w:val="ListBullet"/>
        <w:spacing w:after="40"/>
      </w:pPr>
      <w:r>
        <w:t>Plan for the recurring late-year lift shown in Q4 and November–December, and compare monthly values by year in the workbook before making staffing or inventory decisions.</w:t>
      </w:r>
    </w:p>
    <w:p>
      <w:pPr>
        <w:pStyle w:val="Heading2"/>
      </w:pPr>
      <w:r>
        <w:t>Project coverage</w:t>
      </w:r>
    </w:p>
    <w:tbl>
      <w:tblPr>
        <w:tblW w:type="auto" w:w="0"/>
        <w:jc w:val="center"/>
        <w:tblLook w:firstColumn="1" w:firstRow="1" w:lastColumn="0" w:lastRow="0" w:noHBand="0" w:noVBand="1" w:val="04A0"/>
        <w:tblBorders>
          <w:top w:val="single" w:sz="4" w:color="D9E1E8"/>
          <w:left w:val="single" w:sz="4" w:color="D9E1E8"/>
          <w:bottom w:val="single" w:sz="4" w:color="D9E1E8"/>
          <w:right w:val="single" w:sz="4" w:color="D9E1E8"/>
          <w:insideH w:val="single" w:sz="4" w:color="D9E1E8"/>
          <w:insideV w:val="single" w:sz="4" w:color="D9E1E8"/>
        </w:tblBorders>
      </w:tblPr>
      <w:tblGrid>
        <w:gridCol w:w="5184"/>
        <w:gridCol w:w="5184"/>
      </w:tblGrid>
      <w:tr>
        <w:tc>
          <w:tcPr>
            <w:tcW w:type="dxa" w:w="5184"/>
            <w:vAlign w:val="center"/>
            <w:tcMar>
              <w:top w:w="80" w:type="dxa"/>
              <w:start w:w="90" w:type="dxa"/>
              <w:bottom w:w="80" w:type="dxa"/>
              <w:end w:w="90" w:type="dxa"/>
            </w:tcMar>
            <w:shd w:fill="16324F"/>
          </w:tcPr>
          <w:p>
            <w:pPr>
              <w:spacing w:before="0" w:after="0"/>
            </w:pPr>
            <w:r/>
            <w:r>
              <w:rPr>
                <w:rFonts w:ascii="Arial" w:hAnsi="Arial"/>
                <w:b/>
                <w:color w:val="FFFFFF"/>
                <w:sz w:val="16"/>
              </w:rPr>
              <w:t>Requested analysis</w:t>
            </w:r>
          </w:p>
        </w:tc>
        <w:tc>
          <w:tcPr>
            <w:tcW w:type="dxa" w:w="5184"/>
            <w:vAlign w:val="center"/>
            <w:tcMar>
              <w:top w:w="80" w:type="dxa"/>
              <w:start w:w="90" w:type="dxa"/>
              <w:bottom w:w="80" w:type="dxa"/>
              <w:end w:w="90" w:type="dxa"/>
            </w:tcMar>
            <w:shd w:fill="16324F"/>
          </w:tcPr>
          <w:p>
            <w:pPr>
              <w:spacing w:before="0" w:after="0"/>
            </w:pPr>
            <w:r/>
            <w:r>
              <w:rPr>
                <w:rFonts w:ascii="Arial" w:hAnsi="Arial"/>
                <w:b/>
                <w:color w:val="FFFFFF"/>
                <w:sz w:val="16"/>
              </w:rPr>
              <w:t>Status</w:t>
            </w:r>
          </w:p>
        </w:tc>
      </w:tr>
      <w:tr>
        <w:tc>
          <w:tcPr>
            <w:tcW w:type="dxa" w:w="5184"/>
            <w:vAlign w:val="center"/>
            <w:tcMar>
              <w:top w:w="80" w:type="dxa"/>
              <w:start w:w="90" w:type="dxa"/>
              <w:bottom w:w="80" w:type="dxa"/>
              <w:end w:w="90" w:type="dxa"/>
            </w:tcMar>
          </w:tcPr>
          <w:p>
            <w:pPr>
              <w:spacing w:before="0" w:after="0"/>
            </w:pPr>
            <w:r/>
            <w:r>
              <w:rPr>
                <w:rFonts w:ascii="Arial" w:hAnsi="Arial"/>
                <w:b w:val="0"/>
                <w:color w:val="243746"/>
                <w:sz w:val="16"/>
              </w:rPr>
              <w:t>Sales by region</w:t>
            </w:r>
          </w:p>
        </w:tc>
        <w:tc>
          <w:tcPr>
            <w:tcW w:type="dxa" w:w="5184"/>
            <w:vAlign w:val="center"/>
            <w:tcMar>
              <w:top w:w="80" w:type="dxa"/>
              <w:start w:w="90" w:type="dxa"/>
              <w:bottom w:w="80" w:type="dxa"/>
              <w:end w:w="90" w:type="dxa"/>
            </w:tcMar>
          </w:tcPr>
          <w:p>
            <w:pPr>
              <w:spacing w:before="0" w:after="0"/>
            </w:pPr>
            <w:r/>
            <w:r>
              <w:rPr>
                <w:rFonts w:ascii="Arial" w:hAnsi="Arial"/>
                <w:b w:val="0"/>
                <w:color w:val="243746"/>
                <w:sz w:val="16"/>
              </w:rPr>
              <w:t>Included</w:t>
            </w:r>
          </w:p>
        </w:tc>
      </w:tr>
      <w:tr>
        <w:tc>
          <w:tcPr>
            <w:tcW w:type="dxa" w:w="5184"/>
            <w:vAlign w:val="center"/>
            <w:tcMar>
              <w:top w:w="80" w:type="dxa"/>
              <w:start w:w="90" w:type="dxa"/>
              <w:bottom w:w="80" w:type="dxa"/>
              <w:end w:w="90" w:type="dxa"/>
            </w:tcMar>
            <w:shd w:fill="F5F8FA"/>
          </w:tcPr>
          <w:p>
            <w:pPr>
              <w:spacing w:before="0" w:after="0"/>
            </w:pPr>
            <w:r/>
            <w:r>
              <w:rPr>
                <w:rFonts w:ascii="Arial" w:hAnsi="Arial"/>
                <w:b w:val="0"/>
                <w:color w:val="243746"/>
                <w:sz w:val="16"/>
              </w:rPr>
              <w:t>Profit contribution by customer segment</w:t>
            </w:r>
          </w:p>
        </w:tc>
        <w:tc>
          <w:tcPr>
            <w:tcW w:type="dxa" w:w="5184"/>
            <w:vAlign w:val="center"/>
            <w:tcMar>
              <w:top w:w="80" w:type="dxa"/>
              <w:start w:w="90" w:type="dxa"/>
              <w:bottom w:w="80" w:type="dxa"/>
              <w:end w:w="90" w:type="dxa"/>
            </w:tcMar>
            <w:shd w:fill="F5F8FA"/>
          </w:tcPr>
          <w:p>
            <w:pPr>
              <w:spacing w:before="0" w:after="0"/>
            </w:pPr>
            <w:r/>
            <w:r>
              <w:rPr>
                <w:rFonts w:ascii="Arial" w:hAnsi="Arial"/>
                <w:b w:val="0"/>
                <w:color w:val="243746"/>
                <w:sz w:val="16"/>
              </w:rPr>
              <w:t>Included</w:t>
            </w:r>
          </w:p>
        </w:tc>
      </w:tr>
      <w:tr>
        <w:tc>
          <w:tcPr>
            <w:tcW w:type="dxa" w:w="5184"/>
            <w:vAlign w:val="center"/>
            <w:tcMar>
              <w:top w:w="80" w:type="dxa"/>
              <w:start w:w="90" w:type="dxa"/>
              <w:bottom w:w="80" w:type="dxa"/>
              <w:end w:w="90" w:type="dxa"/>
            </w:tcMar>
          </w:tcPr>
          <w:p>
            <w:pPr>
              <w:spacing w:before="0" w:after="0"/>
            </w:pPr>
            <w:r/>
            <w:r>
              <w:rPr>
                <w:rFonts w:ascii="Arial" w:hAnsi="Arial"/>
                <w:b w:val="0"/>
                <w:color w:val="243746"/>
                <w:sz w:val="16"/>
              </w:rPr>
              <w:t>Top 10 products by sales</w:t>
            </w:r>
          </w:p>
        </w:tc>
        <w:tc>
          <w:tcPr>
            <w:tcW w:type="dxa" w:w="5184"/>
            <w:vAlign w:val="center"/>
            <w:tcMar>
              <w:top w:w="80" w:type="dxa"/>
              <w:start w:w="90" w:type="dxa"/>
              <w:bottom w:w="80" w:type="dxa"/>
              <w:end w:w="90" w:type="dxa"/>
            </w:tcMar>
          </w:tcPr>
          <w:p>
            <w:pPr>
              <w:spacing w:before="0" w:after="0"/>
            </w:pPr>
            <w:r/>
            <w:r>
              <w:rPr>
                <w:rFonts w:ascii="Arial" w:hAnsi="Arial"/>
                <w:b w:val="0"/>
                <w:color w:val="243746"/>
                <w:sz w:val="16"/>
              </w:rPr>
              <w:t>Included</w:t>
            </w:r>
          </w:p>
        </w:tc>
      </w:tr>
      <w:tr>
        <w:tc>
          <w:tcPr>
            <w:tcW w:type="dxa" w:w="5184"/>
            <w:vAlign w:val="center"/>
            <w:tcMar>
              <w:top w:w="80" w:type="dxa"/>
              <w:start w:w="90" w:type="dxa"/>
              <w:bottom w:w="80" w:type="dxa"/>
              <w:end w:w="90" w:type="dxa"/>
            </w:tcMar>
            <w:shd w:fill="F5F8FA"/>
          </w:tcPr>
          <w:p>
            <w:pPr>
              <w:spacing w:before="0" w:after="0"/>
            </w:pPr>
            <w:r/>
            <w:r>
              <w:rPr>
                <w:rFonts w:ascii="Arial" w:hAnsi="Arial"/>
                <w:b w:val="0"/>
                <w:color w:val="243746"/>
                <w:sz w:val="16"/>
              </w:rPr>
              <w:t>Top 10 customers by sales</w:t>
            </w:r>
          </w:p>
        </w:tc>
        <w:tc>
          <w:tcPr>
            <w:tcW w:type="dxa" w:w="5184"/>
            <w:vAlign w:val="center"/>
            <w:tcMar>
              <w:top w:w="80" w:type="dxa"/>
              <w:start w:w="90" w:type="dxa"/>
              <w:bottom w:w="80" w:type="dxa"/>
              <w:end w:w="90" w:type="dxa"/>
            </w:tcMar>
            <w:shd w:fill="F5F8FA"/>
          </w:tcPr>
          <w:p>
            <w:pPr>
              <w:spacing w:before="0" w:after="0"/>
            </w:pPr>
            <w:r/>
            <w:r>
              <w:rPr>
                <w:rFonts w:ascii="Arial" w:hAnsi="Arial"/>
                <w:b w:val="0"/>
                <w:color w:val="243746"/>
                <w:sz w:val="16"/>
              </w:rPr>
              <w:t>Included</w:t>
            </w:r>
          </w:p>
        </w:tc>
      </w:tr>
      <w:tr>
        <w:tc>
          <w:tcPr>
            <w:tcW w:type="dxa" w:w="5184"/>
            <w:vAlign w:val="center"/>
            <w:tcMar>
              <w:top w:w="80" w:type="dxa"/>
              <w:start w:w="90" w:type="dxa"/>
              <w:bottom w:w="80" w:type="dxa"/>
              <w:end w:w="90" w:type="dxa"/>
            </w:tcMar>
          </w:tcPr>
          <w:p>
            <w:pPr>
              <w:spacing w:before="0" w:after="0"/>
            </w:pPr>
            <w:r/>
            <w:r>
              <w:rPr>
                <w:rFonts w:ascii="Arial" w:hAnsi="Arial"/>
                <w:b w:val="0"/>
                <w:color w:val="243746"/>
                <w:sz w:val="16"/>
              </w:rPr>
              <w:t>Sales trend by year</w:t>
            </w:r>
          </w:p>
        </w:tc>
        <w:tc>
          <w:tcPr>
            <w:tcW w:type="dxa" w:w="5184"/>
            <w:vAlign w:val="center"/>
            <w:tcMar>
              <w:top w:w="80" w:type="dxa"/>
              <w:start w:w="90" w:type="dxa"/>
              <w:bottom w:w="80" w:type="dxa"/>
              <w:end w:w="90" w:type="dxa"/>
            </w:tcMar>
          </w:tcPr>
          <w:p>
            <w:pPr>
              <w:spacing w:before="0" w:after="0"/>
            </w:pPr>
            <w:r/>
            <w:r>
              <w:rPr>
                <w:rFonts w:ascii="Arial" w:hAnsi="Arial"/>
                <w:b w:val="0"/>
                <w:color w:val="243746"/>
                <w:sz w:val="16"/>
              </w:rPr>
              <w:t>Included</w:t>
            </w:r>
          </w:p>
        </w:tc>
      </w:tr>
      <w:tr>
        <w:tc>
          <w:tcPr>
            <w:tcW w:type="dxa" w:w="5184"/>
            <w:vAlign w:val="center"/>
            <w:tcMar>
              <w:top w:w="80" w:type="dxa"/>
              <w:start w:w="90" w:type="dxa"/>
              <w:bottom w:w="80" w:type="dxa"/>
              <w:end w:w="90" w:type="dxa"/>
            </w:tcMar>
            <w:shd w:fill="F5F8FA"/>
          </w:tcPr>
          <w:p>
            <w:pPr>
              <w:spacing w:before="0" w:after="0"/>
            </w:pPr>
            <w:r/>
            <w:r>
              <w:rPr>
                <w:rFonts w:ascii="Arial" w:hAnsi="Arial"/>
                <w:b w:val="0"/>
                <w:color w:val="243746"/>
                <w:sz w:val="16"/>
              </w:rPr>
              <w:t>Sales volume by month</w:t>
            </w:r>
          </w:p>
        </w:tc>
        <w:tc>
          <w:tcPr>
            <w:tcW w:type="dxa" w:w="5184"/>
            <w:vAlign w:val="center"/>
            <w:tcMar>
              <w:top w:w="80" w:type="dxa"/>
              <w:start w:w="90" w:type="dxa"/>
              <w:bottom w:w="80" w:type="dxa"/>
              <w:end w:w="90" w:type="dxa"/>
            </w:tcMar>
            <w:shd w:fill="F5F8FA"/>
          </w:tcPr>
          <w:p>
            <w:pPr>
              <w:spacing w:before="0" w:after="0"/>
            </w:pPr>
            <w:r/>
            <w:r>
              <w:rPr>
                <w:rFonts w:ascii="Arial" w:hAnsi="Arial"/>
                <w:b w:val="0"/>
                <w:color w:val="243746"/>
                <w:sz w:val="16"/>
              </w:rPr>
              <w:t>Included; calendar months combined across 2014–2017</w:t>
            </w:r>
          </w:p>
        </w:tc>
      </w:tr>
    </w:tbl>
    <w:sectPr w:rsidR="00FC693F" w:rsidRPr="0006063C" w:rsidSect="00034616">
      <w:headerReference w:type="default" r:id="rId9"/>
      <w:footerReference w:type="default" r:id="rId10"/>
      <w:pgSz w:w="12240" w:h="15840"/>
      <w:pgMar w:top="835"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0717D"/>
        <w:sz w:val="16"/>
      </w:rPr>
      <w:t xml:space="preserve">Sales Analysis Project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0717D"/>
        <w:sz w:val="16"/>
      </w:rPr>
      <w:t>SALES ANALYSIS  |  SUPERSTORE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4374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6324F"/>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A9D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6324F"/>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Superstore Sales Analysis</dc:title>
  <dc:subject>Sales performance analysis, 2014–2017</dc:subject>
  <dc:creator>Sales Analysis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