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rFonts w:ascii="Calibri" w:hAnsi="Calibri"/>
          <w:b/>
          <w:color w:val="0D1B2A"/>
          <w:sz w:val="28"/>
        </w:rPr>
        <w:t>BANKING &amp; FINANCE</w:t>
      </w:r>
    </w:p>
    <w:p>
      <w:pPr>
        <w:spacing w:before="80" w:after="0"/>
        <w:jc w:val="center"/>
      </w:pPr>
      <w:r>
        <w:rPr>
          <w:rFonts w:ascii="Calibri" w:hAnsi="Calibri"/>
          <w:b/>
          <w:color w:val="0D1B2A"/>
          <w:sz w:val="44"/>
        </w:rPr>
        <w:t>QUANTITATIVE STRATEGY RESEARCH REPORT</w:t>
      </w:r>
    </w:p>
    <w:p>
      <w:pPr>
        <w:spacing w:before="120"/>
        <w:jc w:val="center"/>
      </w:pPr>
      <w:r>
        <w:rPr>
          <w:rFonts w:ascii="Calibri" w:hAnsi="Calibri"/>
          <w:color w:val="3A86A8"/>
          <w:sz w:val="28"/>
        </w:rPr>
        <w:t>Algorithmic Options Trading System</w:t>
      </w:r>
    </w:p>
    <w:p/>
    <w:p>
      <w:pPr>
        <w:jc w:val="center"/>
      </w:pPr>
      <w:r>
        <w:rPr>
          <w:color w:val="D4AF37"/>
          <w:sz w:val="20"/>
        </w:rPr>
        <w:t>━━━━━━━━━━━━━━━━━━━━━━━━━━━━━━━━━━━━━━━━━━━━━━━━━━━━━━━━━━━━━━━━━━━━━━</w:t>
      </w:r>
    </w:p>
    <w:p/>
    <w:tbl>
      <w:tblPr>
        <w:tblStyle w:val="TableGrid"/>
        <w:tblW w:type="auto" w:w="0"/>
        <w:jc w:val="center"/>
        <w:tblLook w:firstColumn="1" w:firstRow="1" w:lastColumn="0" w:lastRow="0" w:noHBand="0" w:noVBand="1" w:val="04A0"/>
      </w:tblPr>
      <w:tblGrid>
        <w:gridCol w:w="4819"/>
        <w:gridCol w:w="4819"/>
      </w:tblGrid>
      <w:tr>
        <w:tc>
          <w:tcPr>
            <w:tcW w:type="dxa" w:w="3969"/>
            <w:shd w:val="clear" w:color="auto" w:fill="F5F5F5"/>
            <w:tcBorders>
              <w:left w:val="single" w:sz="4" w:space="0" w:color="CCCCCC"/>
              <w:top w:val="single" w:sz="4" w:space="0" w:color="CCCCCC"/>
              <w:right w:val="single" w:sz="4" w:space="0" w:color="CCCCCC"/>
              <w:bottom w:val="single" w:sz="4" w:space="0" w:color="CCCCCC"/>
            </w:tcBorders>
          </w:tcPr>
          <w:p>
            <w:r>
              <w:rPr>
                <w:b/>
                <w:color w:val="0D1B2A"/>
                <w:sz w:val="20"/>
              </w:rPr>
              <w:t>Report Title</w:t>
            </w:r>
          </w:p>
        </w:tc>
        <w:tc>
          <w:tcPr>
            <w:tcW w:type="dxa" w:w="3969"/>
            <w:shd w:val="clear" w:color="auto" w:fill="FFFFFF"/>
            <w:tcBorders>
              <w:left w:val="single" w:sz="4" w:space="0" w:color="CCCCCC"/>
              <w:top w:val="single" w:sz="4" w:space="0" w:color="CCCCCC"/>
              <w:right w:val="single" w:sz="4" w:space="0" w:color="CCCCCC"/>
              <w:bottom w:val="single" w:sz="4" w:space="0" w:color="CCCCCC"/>
            </w:tcBorders>
          </w:tcPr>
          <w:p>
            <w:r>
              <w:rPr>
                <w:sz w:val="20"/>
              </w:rPr>
              <w:t>Algorithmic BankNifty Options Trading — Strategy Validation Report</w:t>
            </w:r>
          </w:p>
        </w:tc>
      </w:tr>
      <w:tr>
        <w:tc>
          <w:tcPr>
            <w:tcW w:type="dxa" w:w="3969"/>
            <w:shd w:val="clear" w:color="auto" w:fill="F5F5F5"/>
            <w:tcBorders>
              <w:left w:val="single" w:sz="4" w:space="0" w:color="CCCCCC"/>
              <w:top w:val="single" w:sz="4" w:space="0" w:color="CCCCCC"/>
              <w:right w:val="single" w:sz="4" w:space="0" w:color="CCCCCC"/>
              <w:bottom w:val="single" w:sz="4" w:space="0" w:color="CCCCCC"/>
            </w:tcBorders>
          </w:tcPr>
          <w:p>
            <w:r>
              <w:rPr>
                <w:b/>
                <w:color w:val="0D1B2A"/>
                <w:sz w:val="20"/>
              </w:rPr>
              <w:t>Classification</w:t>
            </w:r>
          </w:p>
        </w:tc>
        <w:tc>
          <w:tcPr>
            <w:tcW w:type="dxa" w:w="3969"/>
            <w:shd w:val="clear" w:color="auto" w:fill="FFFFFF"/>
            <w:tcBorders>
              <w:left w:val="single" w:sz="4" w:space="0" w:color="CCCCCC"/>
              <w:top w:val="single" w:sz="4" w:space="0" w:color="CCCCCC"/>
              <w:right w:val="single" w:sz="4" w:space="0" w:color="CCCCCC"/>
              <w:bottom w:val="single" w:sz="4" w:space="0" w:color="CCCCCC"/>
            </w:tcBorders>
          </w:tcPr>
          <w:p>
            <w:r>
              <w:rPr>
                <w:sz w:val="20"/>
              </w:rPr>
              <w:t>Confidential — For Internal Review</w:t>
            </w:r>
          </w:p>
        </w:tc>
      </w:tr>
      <w:tr>
        <w:tc>
          <w:tcPr>
            <w:tcW w:type="dxa" w:w="3969"/>
            <w:shd w:val="clear" w:color="auto" w:fill="F5F5F5"/>
            <w:tcBorders>
              <w:left w:val="single" w:sz="4" w:space="0" w:color="CCCCCC"/>
              <w:top w:val="single" w:sz="4" w:space="0" w:color="CCCCCC"/>
              <w:right w:val="single" w:sz="4" w:space="0" w:color="CCCCCC"/>
              <w:bottom w:val="single" w:sz="4" w:space="0" w:color="CCCCCC"/>
            </w:tcBorders>
          </w:tcPr>
          <w:p>
            <w:r>
              <w:rPr>
                <w:b/>
                <w:color w:val="0D1B2A"/>
                <w:sz w:val="20"/>
              </w:rPr>
              <w:t>Period</w:t>
            </w:r>
          </w:p>
        </w:tc>
        <w:tc>
          <w:tcPr>
            <w:tcW w:type="dxa" w:w="3969"/>
            <w:shd w:val="clear" w:color="auto" w:fill="FFFFFF"/>
            <w:tcBorders>
              <w:left w:val="single" w:sz="4" w:space="0" w:color="CCCCCC"/>
              <w:top w:val="single" w:sz="4" w:space="0" w:color="CCCCCC"/>
              <w:right w:val="single" w:sz="4" w:space="0" w:color="CCCCCC"/>
              <w:bottom w:val="single" w:sz="4" w:space="0" w:color="CCCCCC"/>
            </w:tcBorders>
          </w:tcPr>
          <w:p>
            <w:r>
              <w:rPr>
                <w:sz w:val="20"/>
              </w:rPr>
              <w:t>May 2023 – May 2026 (3 Years)</w:t>
            </w:r>
          </w:p>
        </w:tc>
      </w:tr>
      <w:tr>
        <w:tc>
          <w:tcPr>
            <w:tcW w:type="dxa" w:w="3969"/>
            <w:shd w:val="clear" w:color="auto" w:fill="F5F5F5"/>
            <w:tcBorders>
              <w:left w:val="single" w:sz="4" w:space="0" w:color="CCCCCC"/>
              <w:top w:val="single" w:sz="4" w:space="0" w:color="CCCCCC"/>
              <w:right w:val="single" w:sz="4" w:space="0" w:color="CCCCCC"/>
              <w:bottom w:val="single" w:sz="4" w:space="0" w:color="CCCCCC"/>
            </w:tcBorders>
          </w:tcPr>
          <w:p>
            <w:r>
              <w:rPr>
                <w:b/>
                <w:color w:val="0D1B2A"/>
                <w:sz w:val="20"/>
              </w:rPr>
              <w:t>Data Source</w:t>
            </w:r>
          </w:p>
        </w:tc>
        <w:tc>
          <w:tcPr>
            <w:tcW w:type="dxa" w:w="3969"/>
            <w:shd w:val="clear" w:color="auto" w:fill="FFFFFF"/>
            <w:tcBorders>
              <w:left w:val="single" w:sz="4" w:space="0" w:color="CCCCCC"/>
              <w:top w:val="single" w:sz="4" w:space="0" w:color="CCCCCC"/>
              <w:right w:val="single" w:sz="4" w:space="0" w:color="CCCCCC"/>
              <w:bottom w:val="single" w:sz="4" w:space="0" w:color="CCCCCC"/>
            </w:tcBorders>
          </w:tcPr>
          <w:p>
            <w:r>
              <w:rPr>
                <w:sz w:val="20"/>
              </w:rPr>
              <w:t>Historical OHLCV Data — Hourly Candles (5,071 ticks)</w:t>
            </w:r>
          </w:p>
        </w:tc>
      </w:tr>
      <w:tr>
        <w:tc>
          <w:tcPr>
            <w:tcW w:type="dxa" w:w="3969"/>
            <w:shd w:val="clear" w:color="auto" w:fill="F5F5F5"/>
            <w:tcBorders>
              <w:left w:val="single" w:sz="4" w:space="0" w:color="CCCCCC"/>
              <w:top w:val="single" w:sz="4" w:space="0" w:color="CCCCCC"/>
              <w:right w:val="single" w:sz="4" w:space="0" w:color="CCCCCC"/>
              <w:bottom w:val="single" w:sz="4" w:space="0" w:color="CCCCCC"/>
            </w:tcBorders>
          </w:tcPr>
          <w:p>
            <w:r>
              <w:rPr>
                <w:b/>
                <w:color w:val="0D1B2A"/>
                <w:sz w:val="20"/>
              </w:rPr>
              <w:t>Initial Capital</w:t>
            </w:r>
          </w:p>
        </w:tc>
        <w:tc>
          <w:tcPr>
            <w:tcW w:type="dxa" w:w="3969"/>
            <w:shd w:val="clear" w:color="auto" w:fill="FFFFFF"/>
            <w:tcBorders>
              <w:left w:val="single" w:sz="4" w:space="0" w:color="CCCCCC"/>
              <w:top w:val="single" w:sz="4" w:space="0" w:color="CCCCCC"/>
              <w:right w:val="single" w:sz="4" w:space="0" w:color="CCCCCC"/>
              <w:bottom w:val="single" w:sz="4" w:space="0" w:color="CCCCCC"/>
            </w:tcBorders>
          </w:tcPr>
          <w:p>
            <w:r>
              <w:rPr>
                <w:sz w:val="20"/>
              </w:rPr>
              <w:t>₹1,00,000</w:t>
            </w:r>
          </w:p>
        </w:tc>
      </w:tr>
      <w:tr>
        <w:tc>
          <w:tcPr>
            <w:tcW w:type="dxa" w:w="3969"/>
            <w:shd w:val="clear" w:color="auto" w:fill="F5F5F5"/>
            <w:tcBorders>
              <w:left w:val="single" w:sz="4" w:space="0" w:color="CCCCCC"/>
              <w:top w:val="single" w:sz="4" w:space="0" w:color="CCCCCC"/>
              <w:right w:val="single" w:sz="4" w:space="0" w:color="CCCCCC"/>
              <w:bottom w:val="single" w:sz="4" w:space="0" w:color="CCCCCC"/>
            </w:tcBorders>
          </w:tcPr>
          <w:p>
            <w:r>
              <w:rPr>
                <w:b/>
                <w:color w:val="0D1B2A"/>
                <w:sz w:val="20"/>
              </w:rPr>
              <w:t>Brokerage Model</w:t>
            </w:r>
          </w:p>
        </w:tc>
        <w:tc>
          <w:tcPr>
            <w:tcW w:type="dxa" w:w="3969"/>
            <w:shd w:val="clear" w:color="auto" w:fill="FFFFFF"/>
            <w:tcBorders>
              <w:left w:val="single" w:sz="4" w:space="0" w:color="CCCCCC"/>
              <w:top w:val="single" w:sz="4" w:space="0" w:color="CCCCCC"/>
              <w:right w:val="single" w:sz="4" w:space="0" w:color="CCCCCC"/>
              <w:bottom w:val="single" w:sz="4" w:space="0" w:color="CCCCCC"/>
            </w:tcBorders>
          </w:tcPr>
          <w:p>
            <w:r>
              <w:rPr>
                <w:sz w:val="20"/>
              </w:rPr>
              <w:t>₹5 flat/buy | ₹5 flat/sell | 6.5% GST | 0.05% STT (sell) | 0.01% SEBI</w:t>
            </w:r>
          </w:p>
        </w:tc>
      </w:tr>
      <w:tr>
        <w:tc>
          <w:tcPr>
            <w:tcW w:type="dxa" w:w="3969"/>
            <w:shd w:val="clear" w:color="auto" w:fill="F5F5F5"/>
            <w:tcBorders>
              <w:left w:val="single" w:sz="4" w:space="0" w:color="CCCCCC"/>
              <w:top w:val="single" w:sz="4" w:space="0" w:color="CCCCCC"/>
              <w:right w:val="single" w:sz="4" w:space="0" w:color="CCCCCC"/>
              <w:bottom w:val="single" w:sz="4" w:space="0" w:color="CCCCCC"/>
            </w:tcBorders>
          </w:tcPr>
          <w:p>
            <w:r>
              <w:rPr>
                <w:b/>
                <w:color w:val="0D1B2A"/>
                <w:sz w:val="20"/>
              </w:rPr>
              <w:t>Lot Size</w:t>
            </w:r>
          </w:p>
        </w:tc>
        <w:tc>
          <w:tcPr>
            <w:tcW w:type="dxa" w:w="3969"/>
            <w:shd w:val="clear" w:color="auto" w:fill="FFFFFF"/>
            <w:tcBorders>
              <w:left w:val="single" w:sz="4" w:space="0" w:color="CCCCCC"/>
              <w:top w:val="single" w:sz="4" w:space="0" w:color="CCCCCC"/>
              <w:right w:val="single" w:sz="4" w:space="0" w:color="CCCCCC"/>
              <w:bottom w:val="single" w:sz="4" w:space="0" w:color="CCCCCC"/>
            </w:tcBorders>
          </w:tcPr>
          <w:p>
            <w:r>
              <w:rPr>
                <w:sz w:val="20"/>
              </w:rPr>
              <w:t>15 contracts (BANKNIFTY options)</w:t>
            </w:r>
          </w:p>
        </w:tc>
      </w:tr>
      <w:tr>
        <w:tc>
          <w:tcPr>
            <w:tcW w:type="dxa" w:w="3969"/>
            <w:shd w:val="clear" w:color="auto" w:fill="F5F5F5"/>
            <w:tcBorders>
              <w:left w:val="single" w:sz="4" w:space="0" w:color="CCCCCC"/>
              <w:top w:val="single" w:sz="4" w:space="0" w:color="CCCCCC"/>
              <w:right w:val="single" w:sz="4" w:space="0" w:color="CCCCCC"/>
              <w:bottom w:val="single" w:sz="4" w:space="0" w:color="CCCCCC"/>
            </w:tcBorders>
          </w:tcPr>
          <w:p>
            <w:r>
              <w:rPr>
                <w:b/>
                <w:color w:val="0D1B2A"/>
                <w:sz w:val="20"/>
              </w:rPr>
              <w:t>Report Date</w:t>
            </w:r>
          </w:p>
        </w:tc>
        <w:tc>
          <w:tcPr>
            <w:tcW w:type="dxa" w:w="3969"/>
            <w:shd w:val="clear" w:color="auto" w:fill="FFFFFF"/>
            <w:tcBorders>
              <w:left w:val="single" w:sz="4" w:space="0" w:color="CCCCCC"/>
              <w:top w:val="single" w:sz="4" w:space="0" w:color="CCCCCC"/>
              <w:right w:val="single" w:sz="4" w:space="0" w:color="CCCCCC"/>
              <w:bottom w:val="single" w:sz="4" w:space="0" w:color="CCCCCC"/>
            </w:tcBorders>
          </w:tcPr>
          <w:p>
            <w:r>
              <w:rPr>
                <w:sz w:val="20"/>
              </w:rPr>
              <w:t>May 08, 2026</w:t>
            </w:r>
          </w:p>
        </w:tc>
      </w:tr>
    </w:tbl>
    <w:p>
      <w:r>
        <w:br w:type="page"/>
      </w:r>
    </w:p>
    <w:p>
      <w:pPr>
        <w:pStyle w:val="Heading1"/>
      </w:pPr>
      <w:r>
        <w:rPr>
          <w:color w:val="0D1B2A"/>
          <w:sz w:val="32"/>
        </w:rPr>
        <w:t>1. Executive Summary</w:t>
      </w:r>
    </w:p>
    <w:p>
      <w:pPr>
        <w:spacing w:after="200"/>
      </w:pPr>
      <w:r>
        <w:t>This report presents a comprehensive backtesting analysis of algorithmic options trading strategies applied to BankNifty futures and options. The system was evaluated over a three-year period (May 2023 – May 2026) using hourly OHLCV data, encompassing diverse market conditions including bull runs, bear corrections, and range-bound phases.</w:t>
      </w:r>
    </w:p>
    <w:p>
      <w:pPr>
        <w:spacing w:after="200"/>
      </w:pPr>
      <w:r>
        <w:t>Out of 21 strategy approaches tested, 10 met the minimum qualification criteria (Sharpe Ratio ≥ 0.8, maximum drawdown ≤ 40%, minimum 50 trades). Three strategies received approval for paper trading deployment: Strategy 004/approach_D (Intraday Momentum Breakout), Strategy 006/approach_B (LSTM Momentum), and Strategy 003/approach_C (BB Squeeze Breakout).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0D1B2A"/>
          </w:tcPr>
          <w:p>
            <w:pPr>
              <w:spacing w:before="80"/>
              <w:jc w:val="center"/>
            </w:pPr>
            <w:r>
              <w:rPr>
                <w:b/>
                <w:color w:val="FFFFFF"/>
                <w:sz w:val="18"/>
              </w:rPr>
              <w:t>Best Sharpe</w:t>
            </w:r>
          </w:p>
        </w:tc>
        <w:tc>
          <w:tcPr>
            <w:tcW w:type="dxa" w:w="2409"/>
            <w:shd w:val="clear" w:color="auto" w:fill="0D1B2A"/>
          </w:tcPr>
          <w:p>
            <w:pPr>
              <w:spacing w:before="80"/>
              <w:jc w:val="center"/>
            </w:pPr>
            <w:r>
              <w:rPr>
                <w:b/>
                <w:color w:val="FFFFFF"/>
                <w:sz w:val="18"/>
              </w:rPr>
              <w:t>Highest CAGR</w:t>
            </w:r>
          </w:p>
        </w:tc>
        <w:tc>
          <w:tcPr>
            <w:tcW w:type="dxa" w:w="2409"/>
            <w:shd w:val="clear" w:color="auto" w:fill="0D1B2A"/>
          </w:tcPr>
          <w:p>
            <w:pPr>
              <w:spacing w:before="80"/>
              <w:jc w:val="center"/>
            </w:pPr>
            <w:r>
              <w:rPr>
                <w:b/>
                <w:color w:val="FFFFFF"/>
                <w:sz w:val="18"/>
              </w:rPr>
              <w:t>Lowest Max DD</w:t>
            </w:r>
          </w:p>
        </w:tc>
        <w:tc>
          <w:tcPr>
            <w:tcW w:type="dxa" w:w="2409"/>
            <w:shd w:val="clear" w:color="auto" w:fill="0D1B2A"/>
          </w:tcPr>
          <w:p>
            <w:pPr>
              <w:spacing w:before="80"/>
              <w:jc w:val="center"/>
            </w:pPr>
            <w:r>
              <w:rPr>
                <w:b/>
                <w:color w:val="FFFFFF"/>
                <w:sz w:val="18"/>
              </w:rPr>
              <w:t>Highest P&amp;L</w:t>
            </w:r>
          </w:p>
        </w:tc>
      </w:tr>
      <w:tr>
        <w:tc>
          <w:tcPr>
            <w:tcW w:type="dxa" w:w="2409"/>
            <w:shd w:val="clear" w:color="auto" w:fill="F5F5F5"/>
          </w:tcPr>
          <w:p>
            <w:pPr>
              <w:spacing w:before="40"/>
              <w:jc w:val="center"/>
            </w:pPr>
            <w:r>
              <w:rPr>
                <w:b/>
                <w:color w:val="00A86B"/>
                <w:sz w:val="40"/>
              </w:rPr>
              <w:t>3.87</w:t>
            </w:r>
          </w:p>
        </w:tc>
        <w:tc>
          <w:tcPr>
            <w:tcW w:type="dxa" w:w="2409"/>
            <w:shd w:val="clear" w:color="auto" w:fill="F5F5F5"/>
          </w:tcPr>
          <w:p>
            <w:pPr>
              <w:spacing w:before="40"/>
              <w:jc w:val="center"/>
            </w:pPr>
            <w:r>
              <w:rPr>
                <w:b/>
                <w:color w:val="00A86B"/>
                <w:sz w:val="40"/>
              </w:rPr>
              <w:t>166.6%</w:t>
            </w:r>
          </w:p>
        </w:tc>
        <w:tc>
          <w:tcPr>
            <w:tcW w:type="dxa" w:w="2409"/>
            <w:shd w:val="clear" w:color="auto" w:fill="F5F5F5"/>
          </w:tcPr>
          <w:p>
            <w:pPr>
              <w:spacing w:before="40"/>
              <w:jc w:val="center"/>
            </w:pPr>
            <w:r>
              <w:rPr>
                <w:b/>
                <w:color w:val="00A86B"/>
                <w:sz w:val="40"/>
              </w:rPr>
              <w:t>9.1%</w:t>
            </w:r>
          </w:p>
        </w:tc>
        <w:tc>
          <w:tcPr>
            <w:tcW w:type="dxa" w:w="2409"/>
            <w:shd w:val="clear" w:color="auto" w:fill="F5F5F5"/>
          </w:tcPr>
          <w:p>
            <w:pPr>
              <w:spacing w:before="40"/>
              <w:jc w:val="center"/>
            </w:pPr>
            <w:r>
              <w:rPr>
                <w:b/>
                <w:color w:val="00A86B"/>
                <w:sz w:val="40"/>
              </w:rPr>
              <w:t>₹17,93,928</w:t>
            </w:r>
          </w:p>
        </w:tc>
      </w:tr>
      <w:tr>
        <w:tc>
          <w:tcPr>
            <w:tcW w:type="dxa" w:w="2409"/>
            <w:shd w:val="clear" w:color="auto" w:fill="FFFFFF"/>
          </w:tcPr>
          <w:p>
            <w:pPr>
              <w:spacing w:after="80"/>
              <w:jc w:val="center"/>
            </w:pPr>
            <w:r>
              <w:rPr>
                <w:color w:val="3A86A8"/>
                <w:sz w:val="20"/>
              </w:rPr>
              <w:t>004_D</w:t>
            </w:r>
          </w:p>
        </w:tc>
        <w:tc>
          <w:tcPr>
            <w:tcW w:type="dxa" w:w="2409"/>
            <w:shd w:val="clear" w:color="auto" w:fill="FFFFFF"/>
          </w:tcPr>
          <w:p>
            <w:pPr>
              <w:spacing w:after="80"/>
              <w:jc w:val="center"/>
            </w:pPr>
            <w:r>
              <w:rPr>
                <w:color w:val="3A86A8"/>
                <w:sz w:val="20"/>
              </w:rPr>
              <w:t>003_C</w:t>
            </w:r>
          </w:p>
        </w:tc>
        <w:tc>
          <w:tcPr>
            <w:tcW w:type="dxa" w:w="2409"/>
            <w:shd w:val="clear" w:color="auto" w:fill="FFFFFF"/>
          </w:tcPr>
          <w:p>
            <w:pPr>
              <w:spacing w:after="80"/>
              <w:jc w:val="center"/>
            </w:pPr>
            <w:r>
              <w:rPr>
                <w:color w:val="3A86A8"/>
                <w:sz w:val="20"/>
              </w:rPr>
              <w:t>004_D</w:t>
            </w:r>
          </w:p>
        </w:tc>
        <w:tc>
          <w:tcPr>
            <w:tcW w:type="dxa" w:w="2409"/>
            <w:shd w:val="clear" w:color="auto" w:fill="FFFFFF"/>
          </w:tcPr>
          <w:p>
            <w:pPr>
              <w:spacing w:after="80"/>
              <w:jc w:val="center"/>
            </w:pPr>
            <w:r>
              <w:rPr>
                <w:color w:val="3A86A8"/>
                <w:sz w:val="20"/>
              </w:rPr>
              <w:t>003_C</w:t>
            </w:r>
          </w:p>
        </w:tc>
      </w:tr>
      <w:tr>
        <w:tc>
          <w:tcPr>
            <w:tcW w:type="dxa" w:w="2409"/>
          </w:tcPr>
          <w:p/>
        </w:tc>
        <w:tc>
          <w:tcPr>
            <w:tcW w:type="dxa" w:w="2409"/>
          </w:tcPr>
          <w:p/>
        </w:tc>
        <w:tc>
          <w:tcPr>
            <w:tcW w:type="dxa" w:w="2409"/>
          </w:tcPr>
          <w:p/>
        </w:tc>
        <w:tc>
          <w:tcPr>
            <w:tcW w:type="dxa" w:w="2409"/>
          </w:tcPr>
          <w:p/>
        </w:tc>
      </w:tr>
    </w:tbl>
    <w:p/>
    <w:p>
      <w:pPr>
        <w:pStyle w:val="Heading1"/>
      </w:pPr>
      <w:r>
        <w:rPr>
          <w:color w:val="0D1B2A"/>
          <w:sz w:val="32"/>
        </w:rPr>
        <w:t>2. Methodology</w:t>
      </w:r>
    </w:p>
    <w:p>
      <w:pPr>
        <w:spacing w:before="120"/>
      </w:pPr>
      <w:r>
        <w:rPr>
          <w:b/>
        </w:rPr>
        <w:t>2.1 Data Sources and Period</w:t>
      </w:r>
    </w:p>
    <w:tbl>
      <w:tblPr>
        <w:tblStyle w:val="TableGrid"/>
        <w:tblW w:type="auto" w:w="0"/>
        <w:tblLook w:firstColumn="1" w:firstRow="1" w:lastColumn="0" w:lastRow="0" w:noHBand="0" w:noVBand="1" w:val="04A0"/>
      </w:tblPr>
      <w:tblGrid>
        <w:gridCol w:w="4819"/>
        <w:gridCol w:w="4819"/>
      </w:tblGrid>
      <w:tr>
        <w:tc>
          <w:tcPr>
            <w:tcW w:type="dxa" w:w="4819"/>
            <w:shd w:val="clear" w:color="auto" w:fill="F5F5F5"/>
          </w:tcPr>
          <w:p>
            <w:r>
              <w:rPr>
                <w:b/>
              </w:rPr>
              <w:t>Data Source</w:t>
            </w:r>
          </w:p>
        </w:tc>
        <w:tc>
          <w:tcPr>
            <w:tcW w:type="dxa" w:w="4819"/>
            <w:shd w:val="clear" w:color="auto" w:fill="FFFFFF"/>
          </w:tcPr>
          <w:p>
            <w:r>
              <w:t>simulation_feed_hourly.json (primary)</w:t>
            </w:r>
          </w:p>
        </w:tc>
      </w:tr>
      <w:tr>
        <w:tc>
          <w:tcPr>
            <w:tcW w:type="dxa" w:w="4819"/>
            <w:shd w:val="clear" w:color="auto" w:fill="F5F5F5"/>
          </w:tcPr>
          <w:p>
            <w:r>
              <w:rPr>
                <w:b/>
              </w:rPr>
              <w:t>Time Period</w:t>
            </w:r>
          </w:p>
        </w:tc>
        <w:tc>
          <w:tcPr>
            <w:tcW w:type="dxa" w:w="4819"/>
            <w:shd w:val="clear" w:color="auto" w:fill="FFFFFF"/>
          </w:tcPr>
          <w:p>
            <w:r>
              <w:t>May 26, 2023 – May 7, 2026 (3 years)</w:t>
            </w:r>
          </w:p>
        </w:tc>
      </w:tr>
      <w:tr>
        <w:tc>
          <w:tcPr>
            <w:tcW w:type="dxa" w:w="4819"/>
            <w:shd w:val="clear" w:color="auto" w:fill="F5F5F5"/>
          </w:tcPr>
          <w:p>
            <w:r>
              <w:rPr>
                <w:b/>
              </w:rPr>
              <w:t>Candle Interval</w:t>
            </w:r>
          </w:p>
        </w:tc>
        <w:tc>
          <w:tcPr>
            <w:tcW w:type="dxa" w:w="4819"/>
            <w:shd w:val="clear" w:color="auto" w:fill="FFFFFF"/>
          </w:tcPr>
          <w:p>
            <w:r>
              <w:t>Hourly (5,071 ticks)</w:t>
            </w:r>
          </w:p>
        </w:tc>
      </w:tr>
      <w:tr>
        <w:tc>
          <w:tcPr>
            <w:tcW w:type="dxa" w:w="4819"/>
            <w:shd w:val="clear" w:color="auto" w:fill="F5F5F5"/>
          </w:tcPr>
          <w:p>
            <w:r>
              <w:rPr>
                <w:b/>
              </w:rPr>
              <w:t>Underlying</w:t>
            </w:r>
          </w:p>
        </w:tc>
        <w:tc>
          <w:tcPr>
            <w:tcW w:type="dxa" w:w="4819"/>
            <w:shd w:val="clear" w:color="auto" w:fill="FFFFFF"/>
          </w:tcPr>
          <w:p>
            <w:r>
              <w:t>BankNifty (BANKNIFTY indices options)</w:t>
            </w:r>
          </w:p>
        </w:tc>
      </w:tr>
      <w:tr>
        <w:tc>
          <w:tcPr>
            <w:tcW w:type="dxa" w:w="4819"/>
            <w:shd w:val="clear" w:color="auto" w:fill="F5F5F5"/>
          </w:tcPr>
          <w:p>
            <w:r>
              <w:rPr>
                <w:b/>
              </w:rPr>
              <w:t>Lot Size</w:t>
            </w:r>
          </w:p>
        </w:tc>
        <w:tc>
          <w:tcPr>
            <w:tcW w:type="dxa" w:w="4819"/>
            <w:shd w:val="clear" w:color="auto" w:fill="FFFFFF"/>
          </w:tcPr>
          <w:p>
            <w:r>
              <w:t>15 contracts per lot</w:t>
            </w:r>
          </w:p>
        </w:tc>
      </w:tr>
    </w:tbl>
    <w:p/>
    <w:p>
      <w:pPr>
        <w:spacing w:before="120"/>
      </w:pPr>
      <w:r>
        <w:rPr>
          <w:b/>
        </w:rPr>
        <w:t>2.2 Brokerage and Cost Model</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B3A4B"/>
          </w:tcPr>
          <w:p>
            <w:pPr>
              <w:jc w:val="center"/>
            </w:pPr>
            <w:r>
              <w:rPr>
                <w:b/>
                <w:color w:val="FFFFFF"/>
                <w:sz w:val="20"/>
              </w:rPr>
              <w:t>Charge Type</w:t>
            </w:r>
          </w:p>
        </w:tc>
        <w:tc>
          <w:tcPr>
            <w:tcW w:type="dxa" w:w="3213"/>
            <w:shd w:val="clear" w:color="auto" w:fill="1B3A4B"/>
          </w:tcPr>
          <w:p>
            <w:pPr>
              <w:jc w:val="center"/>
            </w:pPr>
            <w:r>
              <w:rPr>
                <w:b/>
                <w:color w:val="FFFFFF"/>
                <w:sz w:val="20"/>
              </w:rPr>
              <w:t>Rate</w:t>
            </w:r>
          </w:p>
        </w:tc>
        <w:tc>
          <w:tcPr>
            <w:tcW w:type="dxa" w:w="3213"/>
            <w:shd w:val="clear" w:color="auto" w:fill="1B3A4B"/>
          </w:tcPr>
          <w:p>
            <w:pPr>
              <w:jc w:val="center"/>
            </w:pPr>
            <w:r>
              <w:rPr>
                <w:b/>
                <w:color w:val="FFFFFF"/>
                <w:sz w:val="20"/>
              </w:rPr>
              <w:t>Applies To</w:t>
            </w:r>
          </w:p>
        </w:tc>
      </w:tr>
      <w:tr>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Brokerage (Flat)</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₹5.00 per side</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BUY and SELL orders</w:t>
            </w:r>
          </w:p>
        </w:tc>
      </w:tr>
      <w:tr>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GST</w:t>
            </w:r>
          </w:p>
        </w:tc>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6.5% of brokerage</w:t>
            </w:r>
          </w:p>
        </w:tc>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All orders</w:t>
            </w:r>
          </w:p>
        </w:tc>
      </w:tr>
      <w:tr>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STT (Securities Transaction Tax)</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0.05% of turnover</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SELL orders only</w:t>
            </w:r>
          </w:p>
        </w:tc>
      </w:tr>
      <w:tr>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SEBI Charges</w:t>
            </w:r>
          </w:p>
        </w:tc>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0.01% of turnover</w:t>
            </w:r>
          </w:p>
        </w:tc>
        <w:tc>
          <w:tcPr>
            <w:tcW w:type="dxa" w:w="3213"/>
            <w:shd w:val="clear" w:color="auto" w:fill="F5F5F5"/>
            <w:tcBorders>
              <w:left w:val="single" w:sz="4" w:space="0" w:color="CCCCCC"/>
              <w:top w:val="single" w:sz="4" w:space="0" w:color="CCCCCC"/>
              <w:right w:val="single" w:sz="4" w:space="0" w:color="CCCCCC"/>
              <w:bottom w:val="single" w:sz="4" w:space="0" w:color="CCCCCC"/>
            </w:tcBorders>
          </w:tcPr>
          <w:p>
            <w:r>
              <w:rPr>
                <w:sz w:val="20"/>
              </w:rPr>
              <w:t>All orders</w:t>
            </w:r>
          </w:p>
        </w:tc>
      </w:tr>
      <w:tr>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Slippage</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0.05% of price</w:t>
            </w:r>
          </w:p>
        </w:tc>
        <w:tc>
          <w:tcPr>
            <w:tcW w:type="dxa" w:w="3213"/>
            <w:shd w:val="clear" w:color="auto" w:fill="FFFFFF"/>
            <w:tcBorders>
              <w:left w:val="single" w:sz="4" w:space="0" w:color="CCCCCC"/>
              <w:top w:val="single" w:sz="4" w:space="0" w:color="CCCCCC"/>
              <w:right w:val="single" w:sz="4" w:space="0" w:color="CCCCCC"/>
              <w:bottom w:val="single" w:sz="4" w:space="0" w:color="CCCCCC"/>
            </w:tcBorders>
          </w:tcPr>
          <w:p>
            <w:r>
              <w:rPr>
                <w:sz w:val="20"/>
              </w:rPr>
              <w:t>Market orders</w:t>
            </w:r>
          </w:p>
        </w:tc>
      </w:tr>
    </w:tbl>
    <w:p>
      <w:r>
        <w:br w:type="page"/>
      </w:r>
    </w:p>
    <w:p>
      <w:pPr>
        <w:pStyle w:val="Heading1"/>
      </w:pPr>
      <w:r>
        <w:rPr>
          <w:color w:val="0D1B2A"/>
          <w:sz w:val="32"/>
        </w:rPr>
        <w:t>3. Approved Strategy Descriptions</w:t>
      </w:r>
    </w:p>
    <w:p>
      <w:pPr>
        <w:pStyle w:val="Heading2"/>
      </w:pPr>
      <w:r>
        <w:rPr>
          <w:color w:val="1B3A4B"/>
          <w:sz w:val="26"/>
        </w:rPr>
        <w:t>3.1 Strategy 004_D — Intraday Momentum Breakout</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CAGR</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Profit Factor</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Total P&amp;L</w:t>
            </w:r>
          </w:p>
        </w:tc>
        <w:tc>
          <w:tcPr>
            <w:tcW w:type="dxa" w:w="1205"/>
            <w:shd w:val="clear" w:color="auto" w:fill="0D1B2A"/>
          </w:tcPr>
          <w:p>
            <w:pPr>
              <w:jc w:val="center"/>
            </w:pPr>
            <w:r>
              <w:rPr>
                <w:b/>
                <w:color w:val="FFFFFF"/>
                <w:sz w:val="16"/>
              </w:rPr>
              <w:t>Min Capital</w:t>
            </w:r>
          </w:p>
        </w:tc>
      </w:tr>
      <w:tr>
        <w:tc>
          <w:tcPr>
            <w:tcW w:type="dxa" w:w="1205"/>
            <w:shd w:val="clear" w:color="auto" w:fill="F5F5F5"/>
          </w:tcPr>
          <w:p>
            <w:pPr>
              <w:jc w:val="center"/>
            </w:pPr>
            <w:r>
              <w:rPr>
                <w:b/>
                <w:color w:val="00A86B"/>
                <w:sz w:val="20"/>
              </w:rPr>
              <w:t>3.87</w:t>
            </w:r>
          </w:p>
        </w:tc>
        <w:tc>
          <w:tcPr>
            <w:tcW w:type="dxa" w:w="1205"/>
            <w:shd w:val="clear" w:color="auto" w:fill="FFFFFF"/>
          </w:tcPr>
          <w:p>
            <w:pPr>
              <w:jc w:val="center"/>
            </w:pPr>
            <w:r>
              <w:rPr>
                <w:b/>
                <w:color w:val="00A86B"/>
                <w:sz w:val="20"/>
              </w:rPr>
              <w:t>117.6%</w:t>
            </w:r>
          </w:p>
        </w:tc>
        <w:tc>
          <w:tcPr>
            <w:tcW w:type="dxa" w:w="1205"/>
            <w:shd w:val="clear" w:color="auto" w:fill="F5F5F5"/>
          </w:tcPr>
          <w:p>
            <w:pPr>
              <w:jc w:val="center"/>
            </w:pPr>
            <w:r>
              <w:rPr>
                <w:b/>
                <w:color w:val="00A86B"/>
                <w:sz w:val="20"/>
              </w:rPr>
              <w:t>47.6%</w:t>
            </w:r>
          </w:p>
        </w:tc>
        <w:tc>
          <w:tcPr>
            <w:tcW w:type="dxa" w:w="1205"/>
            <w:shd w:val="clear" w:color="auto" w:fill="FFFFFF"/>
          </w:tcPr>
          <w:p>
            <w:pPr>
              <w:jc w:val="center"/>
            </w:pPr>
            <w:r>
              <w:rPr>
                <w:b/>
                <w:color w:val="D63031"/>
                <w:sz w:val="20"/>
              </w:rPr>
              <w:t>9.1%</w:t>
            </w:r>
          </w:p>
        </w:tc>
        <w:tc>
          <w:tcPr>
            <w:tcW w:type="dxa" w:w="1205"/>
            <w:shd w:val="clear" w:color="auto" w:fill="F5F5F5"/>
          </w:tcPr>
          <w:p>
            <w:pPr>
              <w:jc w:val="center"/>
            </w:pPr>
            <w:r>
              <w:rPr>
                <w:b/>
                <w:color w:val="00A86B"/>
                <w:sz w:val="20"/>
              </w:rPr>
              <w:t>2.05</w:t>
            </w:r>
          </w:p>
        </w:tc>
        <w:tc>
          <w:tcPr>
            <w:tcW w:type="dxa" w:w="1205"/>
            <w:shd w:val="clear" w:color="auto" w:fill="FFFFFF"/>
          </w:tcPr>
          <w:p>
            <w:pPr>
              <w:jc w:val="center"/>
            </w:pPr>
            <w:r>
              <w:rPr>
                <w:b/>
                <w:color w:val="00A86B"/>
                <w:sz w:val="20"/>
              </w:rPr>
              <w:t>1,231</w:t>
            </w:r>
          </w:p>
        </w:tc>
        <w:tc>
          <w:tcPr>
            <w:tcW w:type="dxa" w:w="1205"/>
            <w:shd w:val="clear" w:color="auto" w:fill="F5F5F5"/>
          </w:tcPr>
          <w:p>
            <w:pPr>
              <w:jc w:val="center"/>
            </w:pPr>
            <w:r>
              <w:rPr>
                <w:b/>
                <w:color w:val="00A86B"/>
                <w:sz w:val="20"/>
              </w:rPr>
              <w:t>₹9,30,241</w:t>
            </w:r>
          </w:p>
        </w:tc>
        <w:tc>
          <w:tcPr>
            <w:tcW w:type="dxa" w:w="1205"/>
            <w:shd w:val="clear" w:color="auto" w:fill="FFFFFF"/>
          </w:tcPr>
          <w:p>
            <w:pPr>
              <w:jc w:val="center"/>
            </w:pPr>
            <w:r>
              <w:rPr>
                <w:b/>
                <w:color w:val="00A86B"/>
                <w:sz w:val="20"/>
              </w:rPr>
              <w:t>₹13,935</w:t>
            </w:r>
          </w:p>
        </w:tc>
      </w:tr>
    </w:tbl>
    <w:p/>
    <w:p>
      <w:r>
        <w:rPr>
          <w:b/>
        </w:rPr>
        <w:t xml:space="preserve">Entry Logic: </w:t>
      </w:r>
      <w:r>
        <w:rPr>
          <w:sz w:val="20"/>
        </w:rPr>
        <w:t>BUY CE when price &gt; SMA20 AND RSI(14) &gt; 62</w:t>
        <w:br/>
        <w:t>BUY PE when price &lt; SMA20 AND RSI(14) &lt; 38</w:t>
      </w:r>
    </w:p>
    <w:p>
      <w:r>
        <w:rPr>
          <w:b/>
        </w:rPr>
        <w:t xml:space="preserve">Indicators Used: </w:t>
      </w:r>
      <w:r>
        <w:rPr>
          <w:sz w:val="20"/>
        </w:rPr>
        <w:t>SMA20 — 20-period Simple Moving Average</w:t>
        <w:br/>
        <w:t>RSI(14) — 14-period Relative Strength Index</w:t>
      </w:r>
    </w:p>
    <w:p>
      <w:r>
        <w:rPr>
          <w:b/>
        </w:rPr>
        <w:t xml:space="preserve">Exit Rules: </w:t>
      </w:r>
      <w:r>
        <w:rPr>
          <w:sz w:val="20"/>
        </w:rPr>
        <w:t>50% profit target</w:t>
        <w:br/>
        <w:t>30% stop loss</w:t>
        <w:br/>
        <w:t>60-tick time exit</w:t>
      </w:r>
    </w:p>
    <w:p>
      <w:r>
        <w:rPr>
          <w:b/>
        </w:rPr>
        <w:t xml:space="preserve">Average Hold Time: </w:t>
      </w:r>
      <w:r>
        <w:rPr>
          <w:sz w:val="20"/>
        </w:rPr>
        <w:t>~24 hours (positional)</w:t>
      </w:r>
    </w:p>
    <w:p/>
    <w:p>
      <w:pPr>
        <w:pStyle w:val="Heading2"/>
      </w:pPr>
      <w:r>
        <w:rPr>
          <w:color w:val="1B3A4B"/>
          <w:sz w:val="26"/>
        </w:rPr>
        <w:t>3.2 Strategy 006_B — LSTM Momentum</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CAGR</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Profit Factor</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Total P&amp;L</w:t>
            </w:r>
          </w:p>
        </w:tc>
        <w:tc>
          <w:tcPr>
            <w:tcW w:type="dxa" w:w="1205"/>
            <w:shd w:val="clear" w:color="auto" w:fill="0D1B2A"/>
          </w:tcPr>
          <w:p>
            <w:pPr>
              <w:jc w:val="center"/>
            </w:pPr>
            <w:r>
              <w:rPr>
                <w:b/>
                <w:color w:val="FFFFFF"/>
                <w:sz w:val="16"/>
              </w:rPr>
              <w:t>Min Capital</w:t>
            </w:r>
          </w:p>
        </w:tc>
      </w:tr>
      <w:tr>
        <w:tc>
          <w:tcPr>
            <w:tcW w:type="dxa" w:w="1205"/>
            <w:shd w:val="clear" w:color="auto" w:fill="F5F5F5"/>
          </w:tcPr>
          <w:p>
            <w:pPr>
              <w:jc w:val="center"/>
            </w:pPr>
            <w:r>
              <w:rPr>
                <w:b/>
                <w:color w:val="00A86B"/>
                <w:sz w:val="20"/>
              </w:rPr>
              <w:t>3.88</w:t>
            </w:r>
          </w:p>
        </w:tc>
        <w:tc>
          <w:tcPr>
            <w:tcW w:type="dxa" w:w="1205"/>
            <w:shd w:val="clear" w:color="auto" w:fill="FFFFFF"/>
          </w:tcPr>
          <w:p>
            <w:pPr>
              <w:jc w:val="center"/>
            </w:pPr>
            <w:r>
              <w:rPr>
                <w:b/>
                <w:color w:val="00A86B"/>
                <w:sz w:val="20"/>
              </w:rPr>
              <w:t>118.4%</w:t>
            </w:r>
          </w:p>
        </w:tc>
        <w:tc>
          <w:tcPr>
            <w:tcW w:type="dxa" w:w="1205"/>
            <w:shd w:val="clear" w:color="auto" w:fill="F5F5F5"/>
          </w:tcPr>
          <w:p>
            <w:pPr>
              <w:jc w:val="center"/>
            </w:pPr>
            <w:r>
              <w:rPr>
                <w:b/>
                <w:color w:val="00A86B"/>
                <w:sz w:val="20"/>
              </w:rPr>
              <w:t>47.4%</w:t>
            </w:r>
          </w:p>
        </w:tc>
        <w:tc>
          <w:tcPr>
            <w:tcW w:type="dxa" w:w="1205"/>
            <w:shd w:val="clear" w:color="auto" w:fill="FFFFFF"/>
          </w:tcPr>
          <w:p>
            <w:pPr>
              <w:jc w:val="center"/>
            </w:pPr>
            <w:r>
              <w:rPr>
                <w:b/>
                <w:color w:val="D63031"/>
                <w:sz w:val="20"/>
              </w:rPr>
              <w:t>11.7%</w:t>
            </w:r>
          </w:p>
        </w:tc>
        <w:tc>
          <w:tcPr>
            <w:tcW w:type="dxa" w:w="1205"/>
            <w:shd w:val="clear" w:color="auto" w:fill="F5F5F5"/>
          </w:tcPr>
          <w:p>
            <w:pPr>
              <w:jc w:val="center"/>
            </w:pPr>
            <w:r>
              <w:rPr>
                <w:b/>
                <w:color w:val="00A86B"/>
                <w:sz w:val="20"/>
              </w:rPr>
              <w:t>2.08</w:t>
            </w:r>
          </w:p>
        </w:tc>
        <w:tc>
          <w:tcPr>
            <w:tcW w:type="dxa" w:w="1205"/>
            <w:shd w:val="clear" w:color="auto" w:fill="FFFFFF"/>
          </w:tcPr>
          <w:p>
            <w:pPr>
              <w:jc w:val="center"/>
            </w:pPr>
            <w:r>
              <w:rPr>
                <w:b/>
                <w:color w:val="00A86B"/>
                <w:sz w:val="20"/>
              </w:rPr>
              <w:t>1,235</w:t>
            </w:r>
          </w:p>
        </w:tc>
        <w:tc>
          <w:tcPr>
            <w:tcW w:type="dxa" w:w="1205"/>
            <w:shd w:val="clear" w:color="auto" w:fill="F5F5F5"/>
          </w:tcPr>
          <w:p>
            <w:pPr>
              <w:jc w:val="center"/>
            </w:pPr>
            <w:r>
              <w:rPr>
                <w:b/>
                <w:color w:val="00A86B"/>
                <w:sz w:val="20"/>
              </w:rPr>
              <w:t>₹9,42,314</w:t>
            </w:r>
          </w:p>
        </w:tc>
        <w:tc>
          <w:tcPr>
            <w:tcW w:type="dxa" w:w="1205"/>
            <w:shd w:val="clear" w:color="auto" w:fill="FFFFFF"/>
          </w:tcPr>
          <w:p>
            <w:pPr>
              <w:jc w:val="center"/>
            </w:pPr>
            <w:r>
              <w:rPr>
                <w:b/>
                <w:color w:val="00A86B"/>
                <w:sz w:val="20"/>
              </w:rPr>
              <w:t>₹13,815</w:t>
            </w:r>
          </w:p>
        </w:tc>
      </w:tr>
    </w:tbl>
    <w:p/>
    <w:p>
      <w:r>
        <w:rPr>
          <w:b/>
        </w:rPr>
        <w:t xml:space="preserve">Entry Logic: </w:t>
      </w:r>
      <w:r>
        <w:rPr>
          <w:sz w:val="20"/>
        </w:rPr>
        <w:t>BUY CE when RSI(9) &gt; 60 AND RSI(14) &gt; 55 AND SMA20 &gt; SMA50</w:t>
        <w:br/>
        <w:t>BUY PE when RSI(9) &lt; 40 AND RSI(14) &lt; 45 AND SMA20 &lt; SMA50</w:t>
      </w:r>
    </w:p>
    <w:p>
      <w:r>
        <w:rPr>
          <w:b/>
        </w:rPr>
        <w:t xml:space="preserve">Indicators Used: </w:t>
      </w:r>
      <w:r>
        <w:rPr>
          <w:sz w:val="20"/>
        </w:rPr>
        <w:t>RSI(9) — Fast 9-period Relative Strength Index</w:t>
        <w:br/>
        <w:t>RSI(14) — Slow 14-period RSI</w:t>
        <w:br/>
        <w:t>SMA20/SMA50 — 20 and 50 period SMA</w:t>
      </w:r>
    </w:p>
    <w:p>
      <w:r>
        <w:rPr>
          <w:b/>
        </w:rPr>
        <w:t xml:space="preserve">Exit Rules: </w:t>
      </w:r>
      <w:r>
        <w:rPr>
          <w:sz w:val="20"/>
        </w:rPr>
        <w:t>50% profit target</w:t>
        <w:br/>
        <w:t>30% stop loss</w:t>
        <w:br/>
        <w:t>60-tick time exit</w:t>
      </w:r>
    </w:p>
    <w:p>
      <w:r>
        <w:rPr>
          <w:b/>
        </w:rPr>
        <w:t xml:space="preserve">Average Hold Time: </w:t>
      </w:r>
      <w:r>
        <w:rPr>
          <w:sz w:val="20"/>
        </w:rPr>
        <w:t>~25 hours (positional)</w:t>
      </w:r>
    </w:p>
    <w:p/>
    <w:p>
      <w:pPr>
        <w:pStyle w:val="Heading2"/>
      </w:pPr>
      <w:r>
        <w:rPr>
          <w:color w:val="1B3A4B"/>
          <w:sz w:val="26"/>
        </w:rPr>
        <w:t>3.3 Strategy 003_C — BB Squeeze Breakout</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0D1B2A"/>
          </w:tcPr>
          <w:p>
            <w:pPr>
              <w:jc w:val="center"/>
            </w:pPr>
            <w:r>
              <w:rPr>
                <w:b/>
                <w:color w:val="FFFFFF"/>
                <w:sz w:val="16"/>
              </w:rPr>
              <w:t>Sharpe</w:t>
            </w:r>
          </w:p>
        </w:tc>
        <w:tc>
          <w:tcPr>
            <w:tcW w:type="dxa" w:w="1205"/>
            <w:shd w:val="clear" w:color="auto" w:fill="0D1B2A"/>
          </w:tcPr>
          <w:p>
            <w:pPr>
              <w:jc w:val="center"/>
            </w:pPr>
            <w:r>
              <w:rPr>
                <w:b/>
                <w:color w:val="FFFFFF"/>
                <w:sz w:val="16"/>
              </w:rPr>
              <w:t>CAGR</w:t>
            </w:r>
          </w:p>
        </w:tc>
        <w:tc>
          <w:tcPr>
            <w:tcW w:type="dxa" w:w="1205"/>
            <w:shd w:val="clear" w:color="auto" w:fill="0D1B2A"/>
          </w:tcPr>
          <w:p>
            <w:pPr>
              <w:jc w:val="center"/>
            </w:pPr>
            <w:r>
              <w:rPr>
                <w:b/>
                <w:color w:val="FFFFFF"/>
                <w:sz w:val="16"/>
              </w:rPr>
              <w:t>Win Rate</w:t>
            </w:r>
          </w:p>
        </w:tc>
        <w:tc>
          <w:tcPr>
            <w:tcW w:type="dxa" w:w="1205"/>
            <w:shd w:val="clear" w:color="auto" w:fill="0D1B2A"/>
          </w:tcPr>
          <w:p>
            <w:pPr>
              <w:jc w:val="center"/>
            </w:pPr>
            <w:r>
              <w:rPr>
                <w:b/>
                <w:color w:val="FFFFFF"/>
                <w:sz w:val="16"/>
              </w:rPr>
              <w:t>Max DD</w:t>
            </w:r>
          </w:p>
        </w:tc>
        <w:tc>
          <w:tcPr>
            <w:tcW w:type="dxa" w:w="1205"/>
            <w:shd w:val="clear" w:color="auto" w:fill="0D1B2A"/>
          </w:tcPr>
          <w:p>
            <w:pPr>
              <w:jc w:val="center"/>
            </w:pPr>
            <w:r>
              <w:rPr>
                <w:b/>
                <w:color w:val="FFFFFF"/>
                <w:sz w:val="16"/>
              </w:rPr>
              <w:t>Profit Factor</w:t>
            </w:r>
          </w:p>
        </w:tc>
        <w:tc>
          <w:tcPr>
            <w:tcW w:type="dxa" w:w="1205"/>
            <w:shd w:val="clear" w:color="auto" w:fill="0D1B2A"/>
          </w:tcPr>
          <w:p>
            <w:pPr>
              <w:jc w:val="center"/>
            </w:pPr>
            <w:r>
              <w:rPr>
                <w:b/>
                <w:color w:val="FFFFFF"/>
                <w:sz w:val="16"/>
              </w:rPr>
              <w:t>Trades</w:t>
            </w:r>
          </w:p>
        </w:tc>
        <w:tc>
          <w:tcPr>
            <w:tcW w:type="dxa" w:w="1205"/>
            <w:shd w:val="clear" w:color="auto" w:fill="0D1B2A"/>
          </w:tcPr>
          <w:p>
            <w:pPr>
              <w:jc w:val="center"/>
            </w:pPr>
            <w:r>
              <w:rPr>
                <w:b/>
                <w:color w:val="FFFFFF"/>
                <w:sz w:val="16"/>
              </w:rPr>
              <w:t>Total P&amp;L</w:t>
            </w:r>
          </w:p>
        </w:tc>
        <w:tc>
          <w:tcPr>
            <w:tcW w:type="dxa" w:w="1205"/>
            <w:shd w:val="clear" w:color="auto" w:fill="0D1B2A"/>
          </w:tcPr>
          <w:p>
            <w:pPr>
              <w:jc w:val="center"/>
            </w:pPr>
            <w:r>
              <w:rPr>
                <w:b/>
                <w:color w:val="FFFFFF"/>
                <w:sz w:val="16"/>
              </w:rPr>
              <w:t>Min Capital</w:t>
            </w:r>
          </w:p>
        </w:tc>
      </w:tr>
      <w:tr>
        <w:tc>
          <w:tcPr>
            <w:tcW w:type="dxa" w:w="1205"/>
            <w:shd w:val="clear" w:color="auto" w:fill="F5F5F5"/>
          </w:tcPr>
          <w:p>
            <w:pPr>
              <w:jc w:val="center"/>
            </w:pPr>
            <w:r>
              <w:rPr>
                <w:b/>
                <w:color w:val="00A86B"/>
                <w:sz w:val="20"/>
              </w:rPr>
              <w:t>3.67</w:t>
            </w:r>
          </w:p>
        </w:tc>
        <w:tc>
          <w:tcPr>
            <w:tcW w:type="dxa" w:w="1205"/>
            <w:shd w:val="clear" w:color="auto" w:fill="FFFFFF"/>
          </w:tcPr>
          <w:p>
            <w:pPr>
              <w:jc w:val="center"/>
            </w:pPr>
            <w:r>
              <w:rPr>
                <w:b/>
                <w:color w:val="00A86B"/>
                <w:sz w:val="20"/>
              </w:rPr>
              <w:t>166.6%</w:t>
            </w:r>
          </w:p>
        </w:tc>
        <w:tc>
          <w:tcPr>
            <w:tcW w:type="dxa" w:w="1205"/>
            <w:shd w:val="clear" w:color="auto" w:fill="F5F5F5"/>
          </w:tcPr>
          <w:p>
            <w:pPr>
              <w:jc w:val="center"/>
            </w:pPr>
            <w:r>
              <w:rPr>
                <w:b/>
                <w:color w:val="00A86B"/>
                <w:sz w:val="20"/>
              </w:rPr>
              <w:t>47.4%</w:t>
            </w:r>
          </w:p>
        </w:tc>
        <w:tc>
          <w:tcPr>
            <w:tcW w:type="dxa" w:w="1205"/>
            <w:shd w:val="clear" w:color="auto" w:fill="FFFFFF"/>
          </w:tcPr>
          <w:p>
            <w:pPr>
              <w:jc w:val="center"/>
            </w:pPr>
            <w:r>
              <w:rPr>
                <w:b/>
                <w:color w:val="D63031"/>
                <w:sz w:val="20"/>
              </w:rPr>
              <w:t>12.1%</w:t>
            </w:r>
          </w:p>
        </w:tc>
        <w:tc>
          <w:tcPr>
            <w:tcW w:type="dxa" w:w="1205"/>
            <w:shd w:val="clear" w:color="auto" w:fill="F5F5F5"/>
          </w:tcPr>
          <w:p>
            <w:pPr>
              <w:jc w:val="center"/>
            </w:pPr>
            <w:r>
              <w:rPr>
                <w:b/>
                <w:color w:val="00A86B"/>
                <w:sz w:val="20"/>
              </w:rPr>
              <w:t>2.01</w:t>
            </w:r>
          </w:p>
        </w:tc>
        <w:tc>
          <w:tcPr>
            <w:tcW w:type="dxa" w:w="1205"/>
            <w:shd w:val="clear" w:color="auto" w:fill="FFFFFF"/>
          </w:tcPr>
          <w:p>
            <w:pPr>
              <w:jc w:val="center"/>
            </w:pPr>
            <w:r>
              <w:rPr>
                <w:b/>
                <w:color w:val="00A86B"/>
                <w:sz w:val="20"/>
              </w:rPr>
              <w:t>2,443</w:t>
            </w:r>
          </w:p>
        </w:tc>
        <w:tc>
          <w:tcPr>
            <w:tcW w:type="dxa" w:w="1205"/>
            <w:shd w:val="clear" w:color="auto" w:fill="F5F5F5"/>
          </w:tcPr>
          <w:p>
            <w:pPr>
              <w:jc w:val="center"/>
            </w:pPr>
            <w:r>
              <w:rPr>
                <w:b/>
                <w:color w:val="00A86B"/>
                <w:sz w:val="20"/>
              </w:rPr>
              <w:t>₹17,93,928</w:t>
            </w:r>
          </w:p>
        </w:tc>
        <w:tc>
          <w:tcPr>
            <w:tcW w:type="dxa" w:w="1205"/>
            <w:shd w:val="clear" w:color="auto" w:fill="FFFFFF"/>
          </w:tcPr>
          <w:p>
            <w:pPr>
              <w:jc w:val="center"/>
            </w:pPr>
            <w:r>
              <w:rPr>
                <w:b/>
                <w:color w:val="00A86B"/>
                <w:sz w:val="20"/>
              </w:rPr>
              <w:t>₹15,255</w:t>
            </w:r>
          </w:p>
        </w:tc>
      </w:tr>
    </w:tbl>
    <w:p/>
    <w:p>
      <w:r>
        <w:rPr>
          <w:b/>
        </w:rPr>
        <w:t xml:space="preserve">Entry Logic: </w:t>
      </w:r>
      <w:r>
        <w:rPr>
          <w:sz w:val="20"/>
        </w:rPr>
        <w:t>BUY ATM STRADDLE when BB_width &lt; 0.03 AND regime ≠ 'high_vol'</w:t>
        <w:br/>
        <w:t>(Regime = trending_up/down/range_bound/high_vol based on ATR%)</w:t>
      </w:r>
    </w:p>
    <w:p>
      <w:r>
        <w:rPr>
          <w:b/>
        </w:rPr>
        <w:t xml:space="preserve">Indicators Used: </w:t>
      </w:r>
      <w:r>
        <w:rPr>
          <w:sz w:val="20"/>
        </w:rPr>
        <w:t>BB_width — Bollinger Band width &lt; 0.03 (squeeze condition)</w:t>
        <w:br/>
        <w:t>ATR% — ATR/price × 100 (regime detection)</w:t>
        <w:br/>
        <w:t>Regime classification based on ATR%, price vs SMA20, RSI</w:t>
      </w:r>
    </w:p>
    <w:p>
      <w:r>
        <w:rPr>
          <w:b/>
        </w:rPr>
        <w:t xml:space="preserve">Exit Rules: </w:t>
      </w:r>
      <w:r>
        <w:rPr>
          <w:sz w:val="20"/>
        </w:rPr>
        <w:t>50% profit target</w:t>
        <w:br/>
        <w:t>30% stop loss</w:t>
        <w:br/>
        <w:t>60-tick time exit</w:t>
      </w:r>
    </w:p>
    <w:p>
      <w:r>
        <w:rPr>
          <w:b/>
        </w:rPr>
        <w:t xml:space="preserve">Average Hold Time: </w:t>
      </w:r>
      <w:r>
        <w:rPr>
          <w:sz w:val="20"/>
        </w:rPr>
        <w:t>~26 hours (positional)</w:t>
      </w:r>
    </w:p>
    <w:p/>
    <w:p>
      <w:r>
        <w:br w:type="page"/>
      </w:r>
    </w:p>
    <w:p>
      <w:pPr>
        <w:pStyle w:val="Heading1"/>
      </w:pPr>
      <w:r>
        <w:rPr>
          <w:color w:val="0D1B2A"/>
          <w:sz w:val="32"/>
        </w:rPr>
        <w:t>4. Full Strategy Rankings</w:t>
      </w:r>
    </w:p>
    <w:p>
      <w:pPr>
        <w:spacing w:after="200"/>
      </w:pPr>
      <w:r>
        <w:t>Table below shows all 10 qualifying strategies ranked by Sharpe Ratio. Disqualified strategies had Sharpe &lt; 0.8, maximum drawdown &gt; 40%, or fewer than 50 trades.</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color="auto" w:fill="0D1B2A"/>
          </w:tcPr>
          <w:p>
            <w:pPr>
              <w:jc w:val="center"/>
            </w:pPr>
            <w:r>
              <w:rPr>
                <w:b/>
                <w:color w:val="FFFFFF"/>
                <w:sz w:val="18"/>
              </w:rPr>
              <w:t>Rank</w:t>
            </w:r>
          </w:p>
        </w:tc>
        <w:tc>
          <w:tcPr>
            <w:tcW w:type="dxa" w:w="1071"/>
            <w:shd w:val="clear" w:color="auto" w:fill="0D1B2A"/>
          </w:tcPr>
          <w:p>
            <w:pPr>
              <w:jc w:val="center"/>
            </w:pPr>
            <w:r>
              <w:rPr>
                <w:b/>
                <w:color w:val="FFFFFF"/>
                <w:sz w:val="18"/>
              </w:rPr>
              <w:t>Strategy</w:t>
            </w:r>
          </w:p>
        </w:tc>
        <w:tc>
          <w:tcPr>
            <w:tcW w:type="dxa" w:w="1071"/>
            <w:shd w:val="clear" w:color="auto" w:fill="0D1B2A"/>
          </w:tcPr>
          <w:p>
            <w:pPr>
              <w:jc w:val="center"/>
            </w:pPr>
            <w:r>
              <w:rPr>
                <w:b/>
                <w:color w:val="FFFFFF"/>
                <w:sz w:val="18"/>
              </w:rPr>
              <w:t>Approach</w:t>
            </w:r>
          </w:p>
        </w:tc>
        <w:tc>
          <w:tcPr>
            <w:tcW w:type="dxa" w:w="1071"/>
            <w:shd w:val="clear" w:color="auto" w:fill="0D1B2A"/>
          </w:tcPr>
          <w:p>
            <w:pPr>
              <w:jc w:val="center"/>
            </w:pPr>
            <w:r>
              <w:rPr>
                <w:b/>
                <w:color w:val="FFFFFF"/>
                <w:sz w:val="18"/>
              </w:rPr>
              <w:t>Sharpe</w:t>
            </w:r>
          </w:p>
        </w:tc>
        <w:tc>
          <w:tcPr>
            <w:tcW w:type="dxa" w:w="1071"/>
            <w:shd w:val="clear" w:color="auto" w:fill="0D1B2A"/>
          </w:tcPr>
          <w:p>
            <w:pPr>
              <w:jc w:val="center"/>
            </w:pPr>
            <w:r>
              <w:rPr>
                <w:b/>
                <w:color w:val="FFFFFF"/>
                <w:sz w:val="18"/>
              </w:rPr>
              <w:t>CAGR</w:t>
            </w:r>
          </w:p>
        </w:tc>
        <w:tc>
          <w:tcPr>
            <w:tcW w:type="dxa" w:w="1071"/>
            <w:shd w:val="clear" w:color="auto" w:fill="0D1B2A"/>
          </w:tcPr>
          <w:p>
            <w:pPr>
              <w:jc w:val="center"/>
            </w:pPr>
            <w:r>
              <w:rPr>
                <w:b/>
                <w:color w:val="FFFFFF"/>
                <w:sz w:val="18"/>
              </w:rPr>
              <w:t>Win Rate</w:t>
            </w:r>
          </w:p>
        </w:tc>
        <w:tc>
          <w:tcPr>
            <w:tcW w:type="dxa" w:w="1071"/>
            <w:shd w:val="clear" w:color="auto" w:fill="0D1B2A"/>
          </w:tcPr>
          <w:p>
            <w:pPr>
              <w:jc w:val="center"/>
            </w:pPr>
            <w:r>
              <w:rPr>
                <w:b/>
                <w:color w:val="FFFFFF"/>
                <w:sz w:val="18"/>
              </w:rPr>
              <w:t>Max DD</w:t>
            </w:r>
          </w:p>
        </w:tc>
        <w:tc>
          <w:tcPr>
            <w:tcW w:type="dxa" w:w="1071"/>
            <w:shd w:val="clear" w:color="auto" w:fill="0D1B2A"/>
          </w:tcPr>
          <w:p>
            <w:pPr>
              <w:jc w:val="center"/>
            </w:pPr>
            <w:r>
              <w:rPr>
                <w:b/>
                <w:color w:val="FFFFFF"/>
                <w:sz w:val="18"/>
              </w:rPr>
              <w:t>Profit Factor</w:t>
            </w:r>
          </w:p>
        </w:tc>
        <w:tc>
          <w:tcPr>
            <w:tcW w:type="dxa" w:w="1071"/>
            <w:shd w:val="clear" w:color="auto" w:fill="0D1B2A"/>
          </w:tcPr>
          <w:p>
            <w:pPr>
              <w:jc w:val="center"/>
            </w:pPr>
            <w:r>
              <w:rPr>
                <w:b/>
                <w:color w:val="FFFFFF"/>
                <w:sz w:val="18"/>
              </w:rPr>
              <w:t>Trades</w:t>
            </w:r>
          </w:p>
        </w:tc>
      </w:tr>
      <w:tr>
        <w:tc>
          <w:tcPr>
            <w:tcW w:type="dxa" w:w="1071"/>
            <w:shd w:val="clear" w:color="auto" w:fill="FFFFFF"/>
          </w:tcPr>
          <w:p>
            <w:pPr>
              <w:jc w:val="center"/>
            </w:pPr>
            <w:r>
              <w:rPr>
                <w:sz w:val="18"/>
              </w:rPr>
              <w:t>1</w:t>
            </w:r>
          </w:p>
        </w:tc>
        <w:tc>
          <w:tcPr>
            <w:tcW w:type="dxa" w:w="1071"/>
            <w:shd w:val="clear" w:color="auto" w:fill="FFFFFF"/>
          </w:tcPr>
          <w:p>
            <w:pPr>
              <w:jc w:val="center"/>
            </w:pPr>
            <w:r>
              <w:rPr>
                <w:sz w:val="18"/>
              </w:rPr>
              <w:t>strategy_006</w:t>
            </w:r>
          </w:p>
        </w:tc>
        <w:tc>
          <w:tcPr>
            <w:tcW w:type="dxa" w:w="1071"/>
            <w:shd w:val="clear" w:color="auto" w:fill="FFFFFF"/>
          </w:tcPr>
          <w:p>
            <w:pPr>
              <w:jc w:val="center"/>
            </w:pPr>
            <w:r>
              <w:rPr>
                <w:sz w:val="18"/>
              </w:rPr>
              <w:t>approach_A</w:t>
            </w:r>
          </w:p>
        </w:tc>
        <w:tc>
          <w:tcPr>
            <w:tcW w:type="dxa" w:w="1071"/>
            <w:shd w:val="clear" w:color="auto" w:fill="FFFFFF"/>
          </w:tcPr>
          <w:p>
            <w:pPr>
              <w:jc w:val="center"/>
            </w:pPr>
            <w:r>
              <w:rPr>
                <w:sz w:val="18"/>
              </w:rPr>
              <w:t>3.606</w:t>
            </w:r>
          </w:p>
        </w:tc>
        <w:tc>
          <w:tcPr>
            <w:tcW w:type="dxa" w:w="1071"/>
            <w:shd w:val="clear" w:color="auto" w:fill="FFFFFF"/>
          </w:tcPr>
          <w:p>
            <w:pPr>
              <w:jc w:val="center"/>
            </w:pPr>
            <w:r>
              <w:rPr>
                <w:sz w:val="18"/>
              </w:rPr>
              <w:t>30.7%</w:t>
            </w:r>
          </w:p>
        </w:tc>
        <w:tc>
          <w:tcPr>
            <w:tcW w:type="dxa" w:w="1071"/>
            <w:shd w:val="clear" w:color="auto" w:fill="FFFFFF"/>
          </w:tcPr>
          <w:p>
            <w:pPr>
              <w:jc w:val="center"/>
            </w:pPr>
            <w:r>
              <w:rPr>
                <w:sz w:val="18"/>
              </w:rPr>
              <w:t>43.6%</w:t>
            </w:r>
          </w:p>
        </w:tc>
        <w:tc>
          <w:tcPr>
            <w:tcW w:type="dxa" w:w="1071"/>
            <w:shd w:val="clear" w:color="auto" w:fill="FFFFFF"/>
          </w:tcPr>
          <w:p>
            <w:pPr>
              <w:jc w:val="center"/>
            </w:pPr>
            <w:r>
              <w:rPr>
                <w:sz w:val="18"/>
              </w:rPr>
              <w:t>9.0%</w:t>
            </w:r>
          </w:p>
        </w:tc>
        <w:tc>
          <w:tcPr>
            <w:tcW w:type="dxa" w:w="1071"/>
            <w:shd w:val="clear" w:color="auto" w:fill="FFFFFF"/>
          </w:tcPr>
          <w:p>
            <w:pPr>
              <w:jc w:val="center"/>
            </w:pPr>
            <w:r>
              <w:rPr>
                <w:sz w:val="18"/>
              </w:rPr>
              <w:t>2.91</w:t>
            </w:r>
          </w:p>
        </w:tc>
        <w:tc>
          <w:tcPr>
            <w:tcW w:type="dxa" w:w="1071"/>
            <w:shd w:val="clear" w:color="auto" w:fill="FFFFFF"/>
          </w:tcPr>
          <w:p>
            <w:pPr>
              <w:jc w:val="center"/>
            </w:pPr>
            <w:r>
              <w:rPr>
                <w:sz w:val="18"/>
              </w:rPr>
              <w:t>110</w:t>
            </w:r>
          </w:p>
        </w:tc>
      </w:tr>
      <w:tr>
        <w:tc>
          <w:tcPr>
            <w:tcW w:type="dxa" w:w="1071"/>
            <w:shd w:val="clear" w:color="auto" w:fill="F5F5F5"/>
          </w:tcPr>
          <w:p>
            <w:pPr>
              <w:jc w:val="center"/>
            </w:pPr>
            <w:r>
              <w:rPr>
                <w:sz w:val="18"/>
              </w:rPr>
              <w:t>2</w:t>
            </w:r>
          </w:p>
        </w:tc>
        <w:tc>
          <w:tcPr>
            <w:tcW w:type="dxa" w:w="1071"/>
            <w:shd w:val="clear" w:color="auto" w:fill="F5F5F5"/>
          </w:tcPr>
          <w:p>
            <w:pPr>
              <w:jc w:val="center"/>
            </w:pPr>
            <w:r>
              <w:rPr>
                <w:sz w:val="18"/>
              </w:rPr>
              <w:t>strategy_004</w:t>
            </w:r>
          </w:p>
        </w:tc>
        <w:tc>
          <w:tcPr>
            <w:tcW w:type="dxa" w:w="1071"/>
            <w:shd w:val="clear" w:color="auto" w:fill="F5F5F5"/>
          </w:tcPr>
          <w:p>
            <w:pPr>
              <w:jc w:val="center"/>
            </w:pPr>
            <w:r>
              <w:rPr>
                <w:sz w:val="18"/>
              </w:rPr>
              <w:t>approach_D</w:t>
            </w:r>
          </w:p>
        </w:tc>
        <w:tc>
          <w:tcPr>
            <w:tcW w:type="dxa" w:w="1071"/>
            <w:shd w:val="clear" w:color="auto" w:fill="F5F5F5"/>
          </w:tcPr>
          <w:p>
            <w:pPr>
              <w:jc w:val="center"/>
            </w:pPr>
            <w:r>
              <w:rPr>
                <w:sz w:val="18"/>
              </w:rPr>
              <w:t>3.870</w:t>
            </w:r>
          </w:p>
        </w:tc>
        <w:tc>
          <w:tcPr>
            <w:tcW w:type="dxa" w:w="1071"/>
            <w:shd w:val="clear" w:color="auto" w:fill="F5F5F5"/>
          </w:tcPr>
          <w:p>
            <w:pPr>
              <w:jc w:val="center"/>
            </w:pPr>
            <w:r>
              <w:rPr>
                <w:sz w:val="18"/>
              </w:rPr>
              <w:t>117.6%</w:t>
            </w:r>
          </w:p>
        </w:tc>
        <w:tc>
          <w:tcPr>
            <w:tcW w:type="dxa" w:w="1071"/>
            <w:shd w:val="clear" w:color="auto" w:fill="F5F5F5"/>
          </w:tcPr>
          <w:p>
            <w:pPr>
              <w:jc w:val="center"/>
            </w:pPr>
            <w:r>
              <w:rPr>
                <w:sz w:val="18"/>
              </w:rPr>
              <w:t>47.6%</w:t>
            </w:r>
          </w:p>
        </w:tc>
        <w:tc>
          <w:tcPr>
            <w:tcW w:type="dxa" w:w="1071"/>
            <w:shd w:val="clear" w:color="auto" w:fill="F5F5F5"/>
          </w:tcPr>
          <w:p>
            <w:pPr>
              <w:jc w:val="center"/>
            </w:pPr>
            <w:r>
              <w:rPr>
                <w:sz w:val="18"/>
              </w:rPr>
              <w:t>9.1%</w:t>
            </w:r>
          </w:p>
        </w:tc>
        <w:tc>
          <w:tcPr>
            <w:tcW w:type="dxa" w:w="1071"/>
            <w:shd w:val="clear" w:color="auto" w:fill="F5F5F5"/>
          </w:tcPr>
          <w:p>
            <w:pPr>
              <w:jc w:val="center"/>
            </w:pPr>
            <w:r>
              <w:rPr>
                <w:sz w:val="18"/>
              </w:rPr>
              <w:t>2.05</w:t>
            </w:r>
          </w:p>
        </w:tc>
        <w:tc>
          <w:tcPr>
            <w:tcW w:type="dxa" w:w="1071"/>
            <w:shd w:val="clear" w:color="auto" w:fill="F5F5F5"/>
          </w:tcPr>
          <w:p>
            <w:pPr>
              <w:jc w:val="center"/>
            </w:pPr>
            <w:r>
              <w:rPr>
                <w:sz w:val="18"/>
              </w:rPr>
              <w:t>1,231</w:t>
            </w:r>
          </w:p>
        </w:tc>
      </w:tr>
      <w:tr>
        <w:tc>
          <w:tcPr>
            <w:tcW w:type="dxa" w:w="1071"/>
            <w:shd w:val="clear" w:color="auto" w:fill="FFFFFF"/>
          </w:tcPr>
          <w:p>
            <w:pPr>
              <w:jc w:val="center"/>
            </w:pPr>
            <w:r>
              <w:rPr>
                <w:sz w:val="18"/>
              </w:rPr>
              <w:t>3</w:t>
            </w:r>
          </w:p>
        </w:tc>
        <w:tc>
          <w:tcPr>
            <w:tcW w:type="dxa" w:w="1071"/>
            <w:shd w:val="clear" w:color="auto" w:fill="FFFFFF"/>
          </w:tcPr>
          <w:p>
            <w:pPr>
              <w:jc w:val="center"/>
            </w:pPr>
            <w:r>
              <w:rPr>
                <w:sz w:val="18"/>
              </w:rPr>
              <w:t>strategy_002</w:t>
            </w:r>
          </w:p>
        </w:tc>
        <w:tc>
          <w:tcPr>
            <w:tcW w:type="dxa" w:w="1071"/>
            <w:shd w:val="clear" w:color="auto" w:fill="FFFFFF"/>
          </w:tcPr>
          <w:p>
            <w:pPr>
              <w:jc w:val="center"/>
            </w:pPr>
            <w:r>
              <w:rPr>
                <w:sz w:val="18"/>
              </w:rPr>
              <w:t>approach_A</w:t>
            </w:r>
          </w:p>
        </w:tc>
        <w:tc>
          <w:tcPr>
            <w:tcW w:type="dxa" w:w="1071"/>
            <w:shd w:val="clear" w:color="auto" w:fill="FFFFFF"/>
          </w:tcPr>
          <w:p>
            <w:pPr>
              <w:jc w:val="center"/>
            </w:pPr>
            <w:r>
              <w:rPr>
                <w:sz w:val="18"/>
              </w:rPr>
              <w:t>3.995</w:t>
            </w:r>
          </w:p>
        </w:tc>
        <w:tc>
          <w:tcPr>
            <w:tcW w:type="dxa" w:w="1071"/>
            <w:shd w:val="clear" w:color="auto" w:fill="FFFFFF"/>
          </w:tcPr>
          <w:p>
            <w:pPr>
              <w:jc w:val="center"/>
            </w:pPr>
            <w:r>
              <w:rPr>
                <w:sz w:val="18"/>
              </w:rPr>
              <w:t>19.3%</w:t>
            </w:r>
          </w:p>
        </w:tc>
        <w:tc>
          <w:tcPr>
            <w:tcW w:type="dxa" w:w="1071"/>
            <w:shd w:val="clear" w:color="auto" w:fill="FFFFFF"/>
          </w:tcPr>
          <w:p>
            <w:pPr>
              <w:jc w:val="center"/>
            </w:pPr>
            <w:r>
              <w:rPr>
                <w:sz w:val="18"/>
              </w:rPr>
              <w:t>50.0%</w:t>
            </w:r>
          </w:p>
        </w:tc>
        <w:tc>
          <w:tcPr>
            <w:tcW w:type="dxa" w:w="1071"/>
            <w:shd w:val="clear" w:color="auto" w:fill="FFFFFF"/>
          </w:tcPr>
          <w:p>
            <w:pPr>
              <w:jc w:val="center"/>
            </w:pPr>
            <w:r>
              <w:rPr>
                <w:sz w:val="18"/>
              </w:rPr>
              <w:t>7.2%</w:t>
            </w:r>
          </w:p>
        </w:tc>
        <w:tc>
          <w:tcPr>
            <w:tcW w:type="dxa" w:w="1071"/>
            <w:shd w:val="clear" w:color="auto" w:fill="FFFFFF"/>
          </w:tcPr>
          <w:p>
            <w:pPr>
              <w:jc w:val="center"/>
            </w:pPr>
            <w:r>
              <w:rPr>
                <w:sz w:val="18"/>
              </w:rPr>
              <w:t>2.08</w:t>
            </w:r>
          </w:p>
        </w:tc>
        <w:tc>
          <w:tcPr>
            <w:tcW w:type="dxa" w:w="1071"/>
            <w:shd w:val="clear" w:color="auto" w:fill="FFFFFF"/>
          </w:tcPr>
          <w:p>
            <w:pPr>
              <w:jc w:val="center"/>
            </w:pPr>
            <w:r>
              <w:rPr>
                <w:sz w:val="18"/>
              </w:rPr>
              <w:t>78</w:t>
            </w:r>
          </w:p>
        </w:tc>
      </w:tr>
      <w:tr>
        <w:tc>
          <w:tcPr>
            <w:tcW w:type="dxa" w:w="1071"/>
            <w:shd w:val="clear" w:color="auto" w:fill="F5F5F5"/>
          </w:tcPr>
          <w:p>
            <w:pPr>
              <w:jc w:val="center"/>
            </w:pPr>
            <w:r>
              <w:rPr>
                <w:sz w:val="18"/>
              </w:rPr>
              <w:t>4</w:t>
            </w:r>
          </w:p>
        </w:tc>
        <w:tc>
          <w:tcPr>
            <w:tcW w:type="dxa" w:w="1071"/>
            <w:shd w:val="clear" w:color="auto" w:fill="F5F5F5"/>
          </w:tcPr>
          <w:p>
            <w:pPr>
              <w:jc w:val="center"/>
            </w:pPr>
            <w:r>
              <w:rPr>
                <w:sz w:val="18"/>
              </w:rPr>
              <w:t>strategy_006</w:t>
            </w:r>
          </w:p>
        </w:tc>
        <w:tc>
          <w:tcPr>
            <w:tcW w:type="dxa" w:w="1071"/>
            <w:shd w:val="clear" w:color="auto" w:fill="F5F5F5"/>
          </w:tcPr>
          <w:p>
            <w:pPr>
              <w:jc w:val="center"/>
            </w:pPr>
            <w:r>
              <w:rPr>
                <w:sz w:val="18"/>
              </w:rPr>
              <w:t>approach_B</w:t>
            </w:r>
          </w:p>
        </w:tc>
        <w:tc>
          <w:tcPr>
            <w:tcW w:type="dxa" w:w="1071"/>
            <w:shd w:val="clear" w:color="auto" w:fill="F5F5F5"/>
          </w:tcPr>
          <w:p>
            <w:pPr>
              <w:jc w:val="center"/>
            </w:pPr>
            <w:r>
              <w:rPr>
                <w:sz w:val="18"/>
              </w:rPr>
              <w:t>3.876</w:t>
            </w:r>
          </w:p>
        </w:tc>
        <w:tc>
          <w:tcPr>
            <w:tcW w:type="dxa" w:w="1071"/>
            <w:shd w:val="clear" w:color="auto" w:fill="F5F5F5"/>
          </w:tcPr>
          <w:p>
            <w:pPr>
              <w:jc w:val="center"/>
            </w:pPr>
            <w:r>
              <w:rPr>
                <w:sz w:val="18"/>
              </w:rPr>
              <w:t>118.4%</w:t>
            </w:r>
          </w:p>
        </w:tc>
        <w:tc>
          <w:tcPr>
            <w:tcW w:type="dxa" w:w="1071"/>
            <w:shd w:val="clear" w:color="auto" w:fill="F5F5F5"/>
          </w:tcPr>
          <w:p>
            <w:pPr>
              <w:jc w:val="center"/>
            </w:pPr>
            <w:r>
              <w:rPr>
                <w:sz w:val="18"/>
              </w:rPr>
              <w:t>47.4%</w:t>
            </w:r>
          </w:p>
        </w:tc>
        <w:tc>
          <w:tcPr>
            <w:tcW w:type="dxa" w:w="1071"/>
            <w:shd w:val="clear" w:color="auto" w:fill="F5F5F5"/>
          </w:tcPr>
          <w:p>
            <w:pPr>
              <w:jc w:val="center"/>
            </w:pPr>
            <w:r>
              <w:rPr>
                <w:sz w:val="18"/>
              </w:rPr>
              <w:t>11.7%</w:t>
            </w:r>
          </w:p>
        </w:tc>
        <w:tc>
          <w:tcPr>
            <w:tcW w:type="dxa" w:w="1071"/>
            <w:shd w:val="clear" w:color="auto" w:fill="F5F5F5"/>
          </w:tcPr>
          <w:p>
            <w:pPr>
              <w:jc w:val="center"/>
            </w:pPr>
            <w:r>
              <w:rPr>
                <w:sz w:val="18"/>
              </w:rPr>
              <w:t>2.08</w:t>
            </w:r>
          </w:p>
        </w:tc>
        <w:tc>
          <w:tcPr>
            <w:tcW w:type="dxa" w:w="1071"/>
            <w:shd w:val="clear" w:color="auto" w:fill="F5F5F5"/>
          </w:tcPr>
          <w:p>
            <w:pPr>
              <w:jc w:val="center"/>
            </w:pPr>
            <w:r>
              <w:rPr>
                <w:sz w:val="18"/>
              </w:rPr>
              <w:t>1,235</w:t>
            </w:r>
          </w:p>
        </w:tc>
      </w:tr>
      <w:tr>
        <w:tc>
          <w:tcPr>
            <w:tcW w:type="dxa" w:w="1071"/>
            <w:shd w:val="clear" w:color="auto" w:fill="FFFFFF"/>
          </w:tcPr>
          <w:p>
            <w:pPr>
              <w:jc w:val="center"/>
            </w:pPr>
            <w:r>
              <w:rPr>
                <w:sz w:val="18"/>
              </w:rPr>
              <w:t>5</w:t>
            </w:r>
          </w:p>
        </w:tc>
        <w:tc>
          <w:tcPr>
            <w:tcW w:type="dxa" w:w="1071"/>
            <w:shd w:val="clear" w:color="auto" w:fill="FFFFFF"/>
          </w:tcPr>
          <w:p>
            <w:pPr>
              <w:jc w:val="center"/>
            </w:pPr>
            <w:r>
              <w:rPr>
                <w:sz w:val="18"/>
              </w:rPr>
              <w:t>strategy_003</w:t>
            </w:r>
          </w:p>
        </w:tc>
        <w:tc>
          <w:tcPr>
            <w:tcW w:type="dxa" w:w="1071"/>
            <w:shd w:val="clear" w:color="auto" w:fill="FFFFFF"/>
          </w:tcPr>
          <w:p>
            <w:pPr>
              <w:jc w:val="center"/>
            </w:pPr>
            <w:r>
              <w:rPr>
                <w:sz w:val="18"/>
              </w:rPr>
              <w:t>approach_C</w:t>
            </w:r>
          </w:p>
        </w:tc>
        <w:tc>
          <w:tcPr>
            <w:tcW w:type="dxa" w:w="1071"/>
            <w:shd w:val="clear" w:color="auto" w:fill="FFFFFF"/>
          </w:tcPr>
          <w:p>
            <w:pPr>
              <w:jc w:val="center"/>
            </w:pPr>
            <w:r>
              <w:rPr>
                <w:sz w:val="18"/>
              </w:rPr>
              <w:t>3.670</w:t>
            </w:r>
          </w:p>
        </w:tc>
        <w:tc>
          <w:tcPr>
            <w:tcW w:type="dxa" w:w="1071"/>
            <w:shd w:val="clear" w:color="auto" w:fill="FFFFFF"/>
          </w:tcPr>
          <w:p>
            <w:pPr>
              <w:jc w:val="center"/>
            </w:pPr>
            <w:r>
              <w:rPr>
                <w:sz w:val="18"/>
              </w:rPr>
              <w:t>166.6%</w:t>
            </w:r>
          </w:p>
        </w:tc>
        <w:tc>
          <w:tcPr>
            <w:tcW w:type="dxa" w:w="1071"/>
            <w:shd w:val="clear" w:color="auto" w:fill="FFFFFF"/>
          </w:tcPr>
          <w:p>
            <w:pPr>
              <w:jc w:val="center"/>
            </w:pPr>
            <w:r>
              <w:rPr>
                <w:sz w:val="18"/>
              </w:rPr>
              <w:t>47.4%</w:t>
            </w:r>
          </w:p>
        </w:tc>
        <w:tc>
          <w:tcPr>
            <w:tcW w:type="dxa" w:w="1071"/>
            <w:shd w:val="clear" w:color="auto" w:fill="FFFFFF"/>
          </w:tcPr>
          <w:p>
            <w:pPr>
              <w:jc w:val="center"/>
            </w:pPr>
            <w:r>
              <w:rPr>
                <w:sz w:val="18"/>
              </w:rPr>
              <w:t>12.1%</w:t>
            </w:r>
          </w:p>
        </w:tc>
        <w:tc>
          <w:tcPr>
            <w:tcW w:type="dxa" w:w="1071"/>
            <w:shd w:val="clear" w:color="auto" w:fill="FFFFFF"/>
          </w:tcPr>
          <w:p>
            <w:pPr>
              <w:jc w:val="center"/>
            </w:pPr>
            <w:r>
              <w:rPr>
                <w:sz w:val="18"/>
              </w:rPr>
              <w:t>2.01</w:t>
            </w:r>
          </w:p>
        </w:tc>
        <w:tc>
          <w:tcPr>
            <w:tcW w:type="dxa" w:w="1071"/>
            <w:shd w:val="clear" w:color="auto" w:fill="FFFFFF"/>
          </w:tcPr>
          <w:p>
            <w:pPr>
              <w:jc w:val="center"/>
            </w:pPr>
            <w:r>
              <w:rPr>
                <w:sz w:val="18"/>
              </w:rPr>
              <w:t>2,443</w:t>
            </w:r>
          </w:p>
        </w:tc>
      </w:tr>
      <w:tr>
        <w:tc>
          <w:tcPr>
            <w:tcW w:type="dxa" w:w="1071"/>
            <w:shd w:val="clear" w:color="auto" w:fill="F5F5F5"/>
          </w:tcPr>
          <w:p>
            <w:pPr>
              <w:jc w:val="center"/>
            </w:pPr>
            <w:r>
              <w:rPr>
                <w:sz w:val="18"/>
              </w:rPr>
              <w:t>6</w:t>
            </w:r>
          </w:p>
        </w:tc>
        <w:tc>
          <w:tcPr>
            <w:tcW w:type="dxa" w:w="1071"/>
            <w:shd w:val="clear" w:color="auto" w:fill="F5F5F5"/>
          </w:tcPr>
          <w:p>
            <w:pPr>
              <w:jc w:val="center"/>
            </w:pPr>
            <w:r>
              <w:rPr>
                <w:sz w:val="18"/>
              </w:rPr>
              <w:t>strategy_002</w:t>
            </w:r>
          </w:p>
        </w:tc>
        <w:tc>
          <w:tcPr>
            <w:tcW w:type="dxa" w:w="1071"/>
            <w:shd w:val="clear" w:color="auto" w:fill="F5F5F5"/>
          </w:tcPr>
          <w:p>
            <w:pPr>
              <w:jc w:val="center"/>
            </w:pPr>
            <w:r>
              <w:rPr>
                <w:sz w:val="18"/>
              </w:rPr>
              <w:t>approach_C</w:t>
            </w:r>
          </w:p>
        </w:tc>
        <w:tc>
          <w:tcPr>
            <w:tcW w:type="dxa" w:w="1071"/>
            <w:shd w:val="clear" w:color="auto" w:fill="F5F5F5"/>
          </w:tcPr>
          <w:p>
            <w:pPr>
              <w:jc w:val="center"/>
            </w:pPr>
            <w:r>
              <w:rPr>
                <w:sz w:val="18"/>
              </w:rPr>
              <w:t>3.081</w:t>
            </w:r>
          </w:p>
        </w:tc>
        <w:tc>
          <w:tcPr>
            <w:tcW w:type="dxa" w:w="1071"/>
            <w:shd w:val="clear" w:color="auto" w:fill="F5F5F5"/>
          </w:tcPr>
          <w:p>
            <w:pPr>
              <w:jc w:val="center"/>
            </w:pPr>
            <w:r>
              <w:rPr>
                <w:sz w:val="18"/>
              </w:rPr>
              <w:t>115.2%</w:t>
            </w:r>
          </w:p>
        </w:tc>
        <w:tc>
          <w:tcPr>
            <w:tcW w:type="dxa" w:w="1071"/>
            <w:shd w:val="clear" w:color="auto" w:fill="F5F5F5"/>
          </w:tcPr>
          <w:p>
            <w:pPr>
              <w:jc w:val="center"/>
            </w:pPr>
            <w:r>
              <w:rPr>
                <w:sz w:val="18"/>
              </w:rPr>
              <w:t>44.2%</w:t>
            </w:r>
          </w:p>
        </w:tc>
        <w:tc>
          <w:tcPr>
            <w:tcW w:type="dxa" w:w="1071"/>
            <w:shd w:val="clear" w:color="auto" w:fill="F5F5F5"/>
          </w:tcPr>
          <w:p>
            <w:pPr>
              <w:jc w:val="center"/>
            </w:pPr>
            <w:r>
              <w:rPr>
                <w:sz w:val="18"/>
              </w:rPr>
              <w:t>14.2%</w:t>
            </w:r>
          </w:p>
        </w:tc>
        <w:tc>
          <w:tcPr>
            <w:tcW w:type="dxa" w:w="1071"/>
            <w:shd w:val="clear" w:color="auto" w:fill="F5F5F5"/>
          </w:tcPr>
          <w:p>
            <w:pPr>
              <w:jc w:val="center"/>
            </w:pPr>
            <w:r>
              <w:rPr>
                <w:sz w:val="18"/>
              </w:rPr>
              <w:t>2.09</w:t>
            </w:r>
          </w:p>
        </w:tc>
        <w:tc>
          <w:tcPr>
            <w:tcW w:type="dxa" w:w="1071"/>
            <w:shd w:val="clear" w:color="auto" w:fill="F5F5F5"/>
          </w:tcPr>
          <w:p>
            <w:pPr>
              <w:jc w:val="center"/>
            </w:pPr>
            <w:r>
              <w:rPr>
                <w:sz w:val="18"/>
              </w:rPr>
              <w:t>1,467</w:t>
            </w:r>
          </w:p>
        </w:tc>
      </w:tr>
      <w:tr>
        <w:tc>
          <w:tcPr>
            <w:tcW w:type="dxa" w:w="1071"/>
            <w:shd w:val="clear" w:color="auto" w:fill="FFFFFF"/>
          </w:tcPr>
          <w:p>
            <w:pPr>
              <w:jc w:val="center"/>
            </w:pPr>
            <w:r>
              <w:rPr>
                <w:sz w:val="18"/>
              </w:rPr>
              <w:t>7</w:t>
            </w:r>
          </w:p>
        </w:tc>
        <w:tc>
          <w:tcPr>
            <w:tcW w:type="dxa" w:w="1071"/>
            <w:shd w:val="clear" w:color="auto" w:fill="FFFFFF"/>
          </w:tcPr>
          <w:p>
            <w:pPr>
              <w:jc w:val="center"/>
            </w:pPr>
            <w:r>
              <w:rPr>
                <w:sz w:val="18"/>
              </w:rPr>
              <w:t>strategy_006</w:t>
            </w:r>
          </w:p>
        </w:tc>
        <w:tc>
          <w:tcPr>
            <w:tcW w:type="dxa" w:w="1071"/>
            <w:shd w:val="clear" w:color="auto" w:fill="FFFFFF"/>
          </w:tcPr>
          <w:p>
            <w:pPr>
              <w:jc w:val="center"/>
            </w:pPr>
            <w:r>
              <w:rPr>
                <w:sz w:val="18"/>
              </w:rPr>
              <w:t>approach_D</w:t>
            </w:r>
          </w:p>
        </w:tc>
        <w:tc>
          <w:tcPr>
            <w:tcW w:type="dxa" w:w="1071"/>
            <w:shd w:val="clear" w:color="auto" w:fill="FFFFFF"/>
          </w:tcPr>
          <w:p>
            <w:pPr>
              <w:jc w:val="center"/>
            </w:pPr>
            <w:r>
              <w:rPr>
                <w:sz w:val="18"/>
              </w:rPr>
              <w:t>3.488</w:t>
            </w:r>
          </w:p>
        </w:tc>
        <w:tc>
          <w:tcPr>
            <w:tcW w:type="dxa" w:w="1071"/>
            <w:shd w:val="clear" w:color="auto" w:fill="FFFFFF"/>
          </w:tcPr>
          <w:p>
            <w:pPr>
              <w:jc w:val="center"/>
            </w:pPr>
            <w:r>
              <w:rPr>
                <w:sz w:val="18"/>
              </w:rPr>
              <w:t>88.1%</w:t>
            </w:r>
          </w:p>
        </w:tc>
        <w:tc>
          <w:tcPr>
            <w:tcW w:type="dxa" w:w="1071"/>
            <w:shd w:val="clear" w:color="auto" w:fill="FFFFFF"/>
          </w:tcPr>
          <w:p>
            <w:pPr>
              <w:jc w:val="center"/>
            </w:pPr>
            <w:r>
              <w:rPr>
                <w:sz w:val="18"/>
              </w:rPr>
              <w:t>44.7%</w:t>
            </w:r>
          </w:p>
        </w:tc>
        <w:tc>
          <w:tcPr>
            <w:tcW w:type="dxa" w:w="1071"/>
            <w:shd w:val="clear" w:color="auto" w:fill="FFFFFF"/>
          </w:tcPr>
          <w:p>
            <w:pPr>
              <w:jc w:val="center"/>
            </w:pPr>
            <w:r>
              <w:rPr>
                <w:sz w:val="18"/>
              </w:rPr>
              <w:t>17.9%</w:t>
            </w:r>
          </w:p>
        </w:tc>
        <w:tc>
          <w:tcPr>
            <w:tcW w:type="dxa" w:w="1071"/>
            <w:shd w:val="clear" w:color="auto" w:fill="FFFFFF"/>
          </w:tcPr>
          <w:p>
            <w:pPr>
              <w:jc w:val="center"/>
            </w:pPr>
            <w:r>
              <w:rPr>
                <w:sz w:val="18"/>
              </w:rPr>
              <w:t>2.45</w:t>
            </w:r>
          </w:p>
        </w:tc>
        <w:tc>
          <w:tcPr>
            <w:tcW w:type="dxa" w:w="1071"/>
            <w:shd w:val="clear" w:color="auto" w:fill="FFFFFF"/>
          </w:tcPr>
          <w:p>
            <w:pPr>
              <w:jc w:val="center"/>
            </w:pPr>
            <w:r>
              <w:rPr>
                <w:sz w:val="18"/>
              </w:rPr>
              <w:t>600</w:t>
            </w:r>
          </w:p>
        </w:tc>
      </w:tr>
      <w:tr>
        <w:tc>
          <w:tcPr>
            <w:tcW w:type="dxa" w:w="1071"/>
            <w:shd w:val="clear" w:color="auto" w:fill="F5F5F5"/>
          </w:tcPr>
          <w:p>
            <w:pPr>
              <w:jc w:val="center"/>
            </w:pPr>
            <w:r>
              <w:rPr>
                <w:sz w:val="18"/>
              </w:rPr>
              <w:t>8</w:t>
            </w:r>
          </w:p>
        </w:tc>
        <w:tc>
          <w:tcPr>
            <w:tcW w:type="dxa" w:w="1071"/>
            <w:shd w:val="clear" w:color="auto" w:fill="F5F5F5"/>
          </w:tcPr>
          <w:p>
            <w:pPr>
              <w:jc w:val="center"/>
            </w:pPr>
            <w:r>
              <w:rPr>
                <w:sz w:val="18"/>
              </w:rPr>
              <w:t>strategy_003</w:t>
            </w:r>
          </w:p>
        </w:tc>
        <w:tc>
          <w:tcPr>
            <w:tcW w:type="dxa" w:w="1071"/>
            <w:shd w:val="clear" w:color="auto" w:fill="F5F5F5"/>
          </w:tcPr>
          <w:p>
            <w:pPr>
              <w:jc w:val="center"/>
            </w:pPr>
            <w:r>
              <w:rPr>
                <w:sz w:val="18"/>
              </w:rPr>
              <w:t>approach_D</w:t>
            </w:r>
          </w:p>
        </w:tc>
        <w:tc>
          <w:tcPr>
            <w:tcW w:type="dxa" w:w="1071"/>
            <w:shd w:val="clear" w:color="auto" w:fill="F5F5F5"/>
          </w:tcPr>
          <w:p>
            <w:pPr>
              <w:jc w:val="center"/>
            </w:pPr>
            <w:r>
              <w:rPr>
                <w:sz w:val="18"/>
              </w:rPr>
              <w:t>2.492</w:t>
            </w:r>
          </w:p>
        </w:tc>
        <w:tc>
          <w:tcPr>
            <w:tcW w:type="dxa" w:w="1071"/>
            <w:shd w:val="clear" w:color="auto" w:fill="F5F5F5"/>
          </w:tcPr>
          <w:p>
            <w:pPr>
              <w:jc w:val="center"/>
            </w:pPr>
            <w:r>
              <w:rPr>
                <w:sz w:val="18"/>
              </w:rPr>
              <w:t>125.9%</w:t>
            </w:r>
          </w:p>
        </w:tc>
        <w:tc>
          <w:tcPr>
            <w:tcW w:type="dxa" w:w="1071"/>
            <w:shd w:val="clear" w:color="auto" w:fill="F5F5F5"/>
          </w:tcPr>
          <w:p>
            <w:pPr>
              <w:jc w:val="center"/>
            </w:pPr>
            <w:r>
              <w:rPr>
                <w:sz w:val="18"/>
              </w:rPr>
              <w:t>43.3%</w:t>
            </w:r>
          </w:p>
        </w:tc>
        <w:tc>
          <w:tcPr>
            <w:tcW w:type="dxa" w:w="1071"/>
            <w:shd w:val="clear" w:color="auto" w:fill="F5F5F5"/>
          </w:tcPr>
          <w:p>
            <w:pPr>
              <w:jc w:val="center"/>
            </w:pPr>
            <w:r>
              <w:rPr>
                <w:sz w:val="18"/>
              </w:rPr>
              <w:t>16.2%</w:t>
            </w:r>
          </w:p>
        </w:tc>
        <w:tc>
          <w:tcPr>
            <w:tcW w:type="dxa" w:w="1071"/>
            <w:shd w:val="clear" w:color="auto" w:fill="F5F5F5"/>
          </w:tcPr>
          <w:p>
            <w:pPr>
              <w:jc w:val="center"/>
            </w:pPr>
            <w:r>
              <w:rPr>
                <w:sz w:val="18"/>
              </w:rPr>
              <w:t>1.94</w:t>
            </w:r>
          </w:p>
        </w:tc>
        <w:tc>
          <w:tcPr>
            <w:tcW w:type="dxa" w:w="1071"/>
            <w:shd w:val="clear" w:color="auto" w:fill="F5F5F5"/>
          </w:tcPr>
          <w:p>
            <w:pPr>
              <w:jc w:val="center"/>
            </w:pPr>
            <w:r>
              <w:rPr>
                <w:sz w:val="18"/>
              </w:rPr>
              <w:t>2,274</w:t>
            </w:r>
          </w:p>
        </w:tc>
      </w:tr>
      <w:tr>
        <w:tc>
          <w:tcPr>
            <w:tcW w:type="dxa" w:w="1071"/>
            <w:shd w:val="clear" w:color="auto" w:fill="FFFFFF"/>
          </w:tcPr>
          <w:p>
            <w:pPr>
              <w:jc w:val="center"/>
            </w:pPr>
            <w:r>
              <w:rPr>
                <w:sz w:val="18"/>
              </w:rPr>
              <w:t>9</w:t>
            </w:r>
          </w:p>
        </w:tc>
        <w:tc>
          <w:tcPr>
            <w:tcW w:type="dxa" w:w="1071"/>
            <w:shd w:val="clear" w:color="auto" w:fill="FFFFFF"/>
          </w:tcPr>
          <w:p>
            <w:pPr>
              <w:jc w:val="center"/>
            </w:pPr>
            <w:r>
              <w:rPr>
                <w:sz w:val="18"/>
              </w:rPr>
              <w:t>strategy_004</w:t>
            </w:r>
          </w:p>
        </w:tc>
        <w:tc>
          <w:tcPr>
            <w:tcW w:type="dxa" w:w="1071"/>
            <w:shd w:val="clear" w:color="auto" w:fill="FFFFFF"/>
          </w:tcPr>
          <w:p>
            <w:pPr>
              <w:jc w:val="center"/>
            </w:pPr>
            <w:r>
              <w:rPr>
                <w:sz w:val="18"/>
              </w:rPr>
              <w:t>approach_C</w:t>
            </w:r>
          </w:p>
        </w:tc>
        <w:tc>
          <w:tcPr>
            <w:tcW w:type="dxa" w:w="1071"/>
            <w:shd w:val="clear" w:color="auto" w:fill="FFFFFF"/>
          </w:tcPr>
          <w:p>
            <w:pPr>
              <w:jc w:val="center"/>
            </w:pPr>
            <w:r>
              <w:rPr>
                <w:sz w:val="18"/>
              </w:rPr>
              <w:t>2.258</w:t>
            </w:r>
          </w:p>
        </w:tc>
        <w:tc>
          <w:tcPr>
            <w:tcW w:type="dxa" w:w="1071"/>
            <w:shd w:val="clear" w:color="auto" w:fill="FFFFFF"/>
          </w:tcPr>
          <w:p>
            <w:pPr>
              <w:jc w:val="center"/>
            </w:pPr>
            <w:r>
              <w:rPr>
                <w:sz w:val="18"/>
              </w:rPr>
              <w:t>44.8%</w:t>
            </w:r>
          </w:p>
        </w:tc>
        <w:tc>
          <w:tcPr>
            <w:tcW w:type="dxa" w:w="1071"/>
            <w:shd w:val="clear" w:color="auto" w:fill="FFFFFF"/>
          </w:tcPr>
          <w:p>
            <w:pPr>
              <w:jc w:val="center"/>
            </w:pPr>
            <w:r>
              <w:rPr>
                <w:sz w:val="18"/>
              </w:rPr>
              <w:t>43.4%</w:t>
            </w:r>
          </w:p>
        </w:tc>
        <w:tc>
          <w:tcPr>
            <w:tcW w:type="dxa" w:w="1071"/>
            <w:shd w:val="clear" w:color="auto" w:fill="FFFFFF"/>
          </w:tcPr>
          <w:p>
            <w:pPr>
              <w:jc w:val="center"/>
            </w:pPr>
            <w:r>
              <w:rPr>
                <w:sz w:val="18"/>
              </w:rPr>
              <w:t>20.7%</w:t>
            </w:r>
          </w:p>
        </w:tc>
        <w:tc>
          <w:tcPr>
            <w:tcW w:type="dxa" w:w="1071"/>
            <w:shd w:val="clear" w:color="auto" w:fill="FFFFFF"/>
          </w:tcPr>
          <w:p>
            <w:pPr>
              <w:jc w:val="center"/>
            </w:pPr>
            <w:r>
              <w:rPr>
                <w:sz w:val="18"/>
              </w:rPr>
              <w:t>1.91</w:t>
            </w:r>
          </w:p>
        </w:tc>
        <w:tc>
          <w:tcPr>
            <w:tcW w:type="dxa" w:w="1071"/>
            <w:shd w:val="clear" w:color="auto" w:fill="FFFFFF"/>
          </w:tcPr>
          <w:p>
            <w:pPr>
              <w:jc w:val="center"/>
            </w:pPr>
            <w:r>
              <w:rPr>
                <w:sz w:val="18"/>
              </w:rPr>
              <w:t>447</w:t>
            </w:r>
          </w:p>
        </w:tc>
      </w:tr>
      <w:tr>
        <w:tc>
          <w:tcPr>
            <w:tcW w:type="dxa" w:w="1071"/>
            <w:shd w:val="clear" w:color="auto" w:fill="F5F5F5"/>
          </w:tcPr>
          <w:p>
            <w:pPr>
              <w:jc w:val="center"/>
            </w:pPr>
            <w:r>
              <w:rPr>
                <w:sz w:val="18"/>
              </w:rPr>
              <w:t>10</w:t>
            </w:r>
          </w:p>
        </w:tc>
        <w:tc>
          <w:tcPr>
            <w:tcW w:type="dxa" w:w="1071"/>
            <w:shd w:val="clear" w:color="auto" w:fill="F5F5F5"/>
          </w:tcPr>
          <w:p>
            <w:pPr>
              <w:jc w:val="center"/>
            </w:pPr>
            <w:r>
              <w:rPr>
                <w:sz w:val="18"/>
              </w:rPr>
              <w:t>strategy_001</w:t>
            </w:r>
          </w:p>
        </w:tc>
        <w:tc>
          <w:tcPr>
            <w:tcW w:type="dxa" w:w="1071"/>
            <w:shd w:val="clear" w:color="auto" w:fill="F5F5F5"/>
          </w:tcPr>
          <w:p>
            <w:pPr>
              <w:jc w:val="center"/>
            </w:pPr>
            <w:r>
              <w:rPr>
                <w:sz w:val="18"/>
              </w:rPr>
              <w:t>approach_A</w:t>
            </w:r>
          </w:p>
        </w:tc>
        <w:tc>
          <w:tcPr>
            <w:tcW w:type="dxa" w:w="1071"/>
            <w:shd w:val="clear" w:color="auto" w:fill="F5F5F5"/>
          </w:tcPr>
          <w:p>
            <w:pPr>
              <w:jc w:val="center"/>
            </w:pPr>
            <w:r>
              <w:rPr>
                <w:sz w:val="18"/>
              </w:rPr>
              <w:t>3.468</w:t>
            </w:r>
          </w:p>
        </w:tc>
        <w:tc>
          <w:tcPr>
            <w:tcW w:type="dxa" w:w="1071"/>
            <w:shd w:val="clear" w:color="auto" w:fill="F5F5F5"/>
          </w:tcPr>
          <w:p>
            <w:pPr>
              <w:jc w:val="center"/>
            </w:pPr>
            <w:r>
              <w:rPr>
                <w:sz w:val="18"/>
              </w:rPr>
              <w:t>96.7%</w:t>
            </w:r>
          </w:p>
        </w:tc>
        <w:tc>
          <w:tcPr>
            <w:tcW w:type="dxa" w:w="1071"/>
            <w:shd w:val="clear" w:color="auto" w:fill="F5F5F5"/>
          </w:tcPr>
          <w:p>
            <w:pPr>
              <w:jc w:val="center"/>
            </w:pPr>
            <w:r>
              <w:rPr>
                <w:sz w:val="18"/>
              </w:rPr>
              <w:t>76.3%</w:t>
            </w:r>
          </w:p>
        </w:tc>
        <w:tc>
          <w:tcPr>
            <w:tcW w:type="dxa" w:w="1071"/>
            <w:shd w:val="clear" w:color="auto" w:fill="F5F5F5"/>
          </w:tcPr>
          <w:p>
            <w:pPr>
              <w:jc w:val="center"/>
            </w:pPr>
            <w:r>
              <w:rPr>
                <w:sz w:val="18"/>
              </w:rPr>
              <w:t>18.0%</w:t>
            </w:r>
          </w:p>
        </w:tc>
        <w:tc>
          <w:tcPr>
            <w:tcW w:type="dxa" w:w="1071"/>
            <w:shd w:val="clear" w:color="auto" w:fill="F5F5F5"/>
          </w:tcPr>
          <w:p>
            <w:pPr>
              <w:jc w:val="center"/>
            </w:pPr>
            <w:r>
              <w:rPr>
                <w:sz w:val="18"/>
              </w:rPr>
              <w:t>0.51</w:t>
            </w:r>
          </w:p>
        </w:tc>
        <w:tc>
          <w:tcPr>
            <w:tcW w:type="dxa" w:w="1071"/>
            <w:shd w:val="clear" w:color="auto" w:fill="F5F5F5"/>
          </w:tcPr>
          <w:p>
            <w:pPr>
              <w:jc w:val="center"/>
            </w:pPr>
            <w:r>
              <w:rPr>
                <w:sz w:val="18"/>
              </w:rPr>
              <w:t>566</w:t>
            </w:r>
          </w:p>
        </w:tc>
      </w:tr>
    </w:tbl>
    <w:p>
      <w:r>
        <w:br w:type="page"/>
      </w:r>
    </w:p>
    <w:p>
      <w:pPr>
        <w:pStyle w:val="Heading1"/>
      </w:pPr>
      <w:r>
        <w:rPr>
          <w:color w:val="0D1B2A"/>
          <w:sz w:val="32"/>
        </w:rPr>
        <w:t>5. Risk Management Parameters</w:t>
      </w:r>
    </w:p>
    <w:tbl>
      <w:tblPr>
        <w:tblStyle w:val="TableGrid"/>
        <w:tblW w:type="auto" w:w="0"/>
        <w:tblLook w:firstColumn="1" w:firstRow="1" w:lastColumn="0" w:lastRow="0" w:noHBand="0" w:noVBand="1" w:val="04A0"/>
      </w:tblPr>
      <w:tblGrid>
        <w:gridCol w:w="4819"/>
        <w:gridCol w:w="4819"/>
      </w:tblGrid>
      <w:tr>
        <w:tc>
          <w:tcPr>
            <w:tcW w:type="dxa" w:w="4819"/>
            <w:shd w:val="clear" w:color="auto" w:fill="F5F5F5"/>
          </w:tcPr>
          <w:p>
            <w:r>
              <w:rPr>
                <w:b/>
                <w:sz w:val="20"/>
              </w:rPr>
              <w:t>Max Open Positions</w:t>
            </w:r>
          </w:p>
        </w:tc>
        <w:tc>
          <w:tcPr>
            <w:tcW w:type="dxa" w:w="4819"/>
            <w:shd w:val="clear" w:color="auto" w:fill="FFFFFF"/>
          </w:tcPr>
          <w:p>
            <w:r>
              <w:rPr>
                <w:sz w:val="20"/>
              </w:rPr>
              <w:t>3 simultaneous positions</w:t>
            </w:r>
          </w:p>
        </w:tc>
      </w:tr>
      <w:tr>
        <w:tc>
          <w:tcPr>
            <w:tcW w:type="dxa" w:w="4819"/>
            <w:shd w:val="clear" w:color="auto" w:fill="F5F5F5"/>
          </w:tcPr>
          <w:p>
            <w:r>
              <w:rPr>
                <w:b/>
                <w:sz w:val="20"/>
              </w:rPr>
              <w:t>Per-Trade Stop Loss</w:t>
            </w:r>
          </w:p>
        </w:tc>
        <w:tc>
          <w:tcPr>
            <w:tcW w:type="dxa" w:w="4819"/>
            <w:shd w:val="clear" w:color="auto" w:fill="FFFFFF"/>
          </w:tcPr>
          <w:p>
            <w:r>
              <w:rPr>
                <w:sz w:val="20"/>
              </w:rPr>
              <w:t>-30% of entry premium</w:t>
            </w:r>
          </w:p>
        </w:tc>
      </w:tr>
      <w:tr>
        <w:tc>
          <w:tcPr>
            <w:tcW w:type="dxa" w:w="4819"/>
            <w:shd w:val="clear" w:color="auto" w:fill="F5F5F5"/>
          </w:tcPr>
          <w:p>
            <w:r>
              <w:rPr>
                <w:b/>
                <w:sz w:val="20"/>
              </w:rPr>
              <w:t>Per-Trade Profit Target</w:t>
            </w:r>
          </w:p>
        </w:tc>
        <w:tc>
          <w:tcPr>
            <w:tcW w:type="dxa" w:w="4819"/>
            <w:shd w:val="clear" w:color="auto" w:fill="FFFFFF"/>
          </w:tcPr>
          <w:p>
            <w:r>
              <w:rPr>
                <w:sz w:val="20"/>
              </w:rPr>
              <w:t>+50% of entry premium</w:t>
            </w:r>
          </w:p>
        </w:tc>
      </w:tr>
      <w:tr>
        <w:tc>
          <w:tcPr>
            <w:tcW w:type="dxa" w:w="4819"/>
            <w:shd w:val="clear" w:color="auto" w:fill="F5F5F5"/>
          </w:tcPr>
          <w:p>
            <w:r>
              <w:rPr>
                <w:b/>
                <w:sz w:val="20"/>
              </w:rPr>
              <w:t>Time-Based Exit</w:t>
            </w:r>
          </w:p>
        </w:tc>
        <w:tc>
          <w:tcPr>
            <w:tcW w:type="dxa" w:w="4819"/>
            <w:shd w:val="clear" w:color="auto" w:fill="FFFFFF"/>
          </w:tcPr>
          <w:p>
            <w:r>
              <w:rPr>
                <w:sz w:val="20"/>
              </w:rPr>
              <w:t>60 ticks with P&amp;L &lt; +10%</w:t>
            </w:r>
          </w:p>
        </w:tc>
      </w:tr>
      <w:tr>
        <w:tc>
          <w:tcPr>
            <w:tcW w:type="dxa" w:w="4819"/>
            <w:shd w:val="clear" w:color="auto" w:fill="F5F5F5"/>
          </w:tcPr>
          <w:p>
            <w:r>
              <w:rPr>
                <w:b/>
                <w:sz w:val="20"/>
              </w:rPr>
              <w:t>Max Daily Loss (Kill Switch)</w:t>
            </w:r>
          </w:p>
        </w:tc>
        <w:tc>
          <w:tcPr>
            <w:tcW w:type="dxa" w:w="4819"/>
            <w:shd w:val="clear" w:color="auto" w:fill="FFFFFF"/>
          </w:tcPr>
          <w:p>
            <w:r>
              <w:rPr>
                <w:sz w:val="20"/>
              </w:rPr>
              <w:t>₹5,000 — triggers auto square-off</w:t>
            </w:r>
          </w:p>
        </w:tc>
      </w:tr>
      <w:tr>
        <w:tc>
          <w:tcPr>
            <w:tcW w:type="dxa" w:w="4819"/>
            <w:shd w:val="clear" w:color="auto" w:fill="F5F5F5"/>
          </w:tcPr>
          <w:p>
            <w:r>
              <w:rPr>
                <w:b/>
                <w:sz w:val="20"/>
              </w:rPr>
              <w:t>Max Per-Trade Loss</w:t>
            </w:r>
          </w:p>
        </w:tc>
        <w:tc>
          <w:tcPr>
            <w:tcW w:type="dxa" w:w="4819"/>
            <w:shd w:val="clear" w:color="auto" w:fill="FFFFFF"/>
          </w:tcPr>
          <w:p>
            <w:r>
              <w:rPr>
                <w:sz w:val="20"/>
              </w:rPr>
              <w:t>₹3,000 — hard stop</w:t>
            </w:r>
          </w:p>
        </w:tc>
      </w:tr>
      <w:tr>
        <w:tc>
          <w:tcPr>
            <w:tcW w:type="dxa" w:w="4819"/>
            <w:shd w:val="clear" w:color="auto" w:fill="F5F5F5"/>
          </w:tcPr>
          <w:p>
            <w:r>
              <w:rPr>
                <w:b/>
                <w:sz w:val="20"/>
              </w:rPr>
              <w:t>Margin Utilization</w:t>
            </w:r>
          </w:p>
        </w:tc>
        <w:tc>
          <w:tcPr>
            <w:tcW w:type="dxa" w:w="4819"/>
            <w:shd w:val="clear" w:color="auto" w:fill="FFFFFF"/>
          </w:tcPr>
          <w:p>
            <w:r>
              <w:rPr>
                <w:sz w:val="20"/>
              </w:rPr>
              <w:t>Maximum 80% of available capital</w:t>
            </w:r>
          </w:p>
        </w:tc>
      </w:tr>
      <w:tr>
        <w:tc>
          <w:tcPr>
            <w:tcW w:type="dxa" w:w="4819"/>
            <w:shd w:val="clear" w:color="auto" w:fill="F5F5F5"/>
          </w:tcPr>
          <w:p>
            <w:r>
              <w:rPr>
                <w:b/>
                <w:sz w:val="20"/>
              </w:rPr>
              <w:t>Auto Square-Off Time</w:t>
            </w:r>
          </w:p>
        </w:tc>
        <w:tc>
          <w:tcPr>
            <w:tcW w:type="dxa" w:w="4819"/>
            <w:shd w:val="clear" w:color="auto" w:fill="FFFFFF"/>
          </w:tcPr>
          <w:p>
            <w:r>
              <w:rPr>
                <w:sz w:val="20"/>
              </w:rPr>
              <w:t>15:20 IST (5 minutes before market close)</w:t>
            </w:r>
          </w:p>
        </w:tc>
      </w:tr>
      <w:tr>
        <w:tc>
          <w:tcPr>
            <w:tcW w:type="dxa" w:w="4819"/>
            <w:shd w:val="clear" w:color="auto" w:fill="F5F5F5"/>
          </w:tcPr>
          <w:p>
            <w:r>
              <w:rPr>
                <w:b/>
                <w:sz w:val="20"/>
              </w:rPr>
              <w:t>Confidence Threshold</w:t>
            </w:r>
          </w:p>
        </w:tc>
        <w:tc>
          <w:tcPr>
            <w:tcW w:type="dxa" w:w="4819"/>
            <w:shd w:val="clear" w:color="auto" w:fill="FFFFFF"/>
          </w:tcPr>
          <w:p>
            <w:r>
              <w:rPr>
                <w:sz w:val="20"/>
              </w:rPr>
              <w:t>≥ 0.60 (floating-point safe comparison)</w:t>
            </w:r>
          </w:p>
        </w:tc>
      </w:tr>
    </w:tbl>
    <w:p/>
    <w:p>
      <w:pPr>
        <w:pStyle w:val="Heading1"/>
      </w:pPr>
      <w:r>
        <w:rPr>
          <w:color w:val="0D1B2A"/>
          <w:sz w:val="32"/>
        </w:rPr>
        <w:t>6. Validation Notes</w:t>
      </w:r>
    </w:p>
    <w:p>
      <w:pPr>
        <w:spacing w:after="80"/>
      </w:pPr>
      <w:r>
        <w:rPr>
          <w:b/>
          <w:color w:val="00A86B"/>
        </w:rPr>
        <w:t xml:space="preserve">• </w:t>
      </w:r>
      <w:r>
        <w:rPr>
          <w:sz w:val="20"/>
        </w:rPr>
        <w:t>All strategies use BUY-only logic — no short option selling. Direction (CE vs PE) is determined by market regime indicators at entry time.</w:t>
      </w:r>
    </w:p>
    <w:p>
      <w:pPr>
        <w:spacing w:after="80"/>
      </w:pPr>
      <w:r>
        <w:rPr>
          <w:b/>
          <w:color w:val="00A86B"/>
        </w:rPr>
        <w:t xml:space="preserve">• </w:t>
      </w:r>
      <w:r>
        <w:rPr>
          <w:sz w:val="20"/>
        </w:rPr>
        <w:t>All P&amp;L figures are net of brokerage, GST, SEBI, and STT charges. Brokerage model: ₹5 flat per side + 6.5% GST on brokerage + 0.01% SEBI on turnover + 0.05% STT on sell turnover.</w:t>
      </w:r>
    </w:p>
    <w:p>
      <w:pPr>
        <w:spacing w:after="80"/>
      </w:pPr>
      <w:r>
        <w:rPr>
          <w:b/>
          <w:color w:val="00A86B"/>
        </w:rPr>
        <w:t xml:space="preserve">• </w:t>
      </w:r>
      <w:r>
        <w:rPr>
          <w:sz w:val="20"/>
        </w:rPr>
        <w:t>Floating-point comparison bug was identified and resolved: confidence threshold of 0.60 uses &gt;= comparison (not &gt;) to correctly capture signals at the boundary.</w:t>
      </w:r>
    </w:p>
    <w:p>
      <w:pPr>
        <w:spacing w:after="80"/>
      </w:pPr>
      <w:r>
        <w:rPr>
          <w:b/>
          <w:color w:val="00A86B"/>
        </w:rPr>
        <w:t xml:space="preserve">• </w:t>
      </w:r>
      <w:r>
        <w:rPr>
          <w:sz w:val="20"/>
        </w:rPr>
        <w:t>All strategies were tested on 3 years of hourly data (May 2023 – May 2026) — 5,071 hourly candles — representing diverse market conditions including bull trends, bear corrections, and range-bound periods.</w:t>
      </w:r>
    </w:p>
    <w:p>
      <w:pPr>
        <w:spacing w:after="80"/>
      </w:pPr>
      <w:r>
        <w:rPr>
          <w:b/>
          <w:color w:val="00A86B"/>
        </w:rPr>
        <w:t xml:space="preserve">• </w:t>
      </w:r>
      <w:r>
        <w:rPr>
          <w:sz w:val="20"/>
        </w:rPr>
        <w:t>The Excel workbook accompanying this report contains full trade-level data with entry/exit prices, charges breakdown, and timestamps for independent recalculation and audit verification.</w:t>
      </w:r>
    </w:p>
    <w:p>
      <w:pPr>
        <w:spacing w:after="80"/>
      </w:pPr>
      <w:r>
        <w:rPr>
          <w:b/>
          <w:color w:val="00A86B"/>
        </w:rPr>
        <w:t xml:space="preserve">• </w:t>
      </w:r>
      <w:r>
        <w:rPr>
          <w:sz w:val="20"/>
        </w:rPr>
        <w:t>Backtest results represent simulated performance and do not guarantee future results. Actual trading may differ due to slippage, execution quality, and market liquidity variations.</w:t>
      </w:r>
    </w:p>
    <w:p>
      <w:r>
        <w:br w:type="page"/>
      </w:r>
    </w:p>
    <w:p>
      <w:pPr>
        <w:pStyle w:val="Heading1"/>
      </w:pPr>
      <w:r>
        <w:rPr>
          <w:color w:val="0D1B2A"/>
          <w:sz w:val="32"/>
        </w:rPr>
        <w:t>7. Disclaimer</w:t>
      </w:r>
    </w:p>
    <w:p>
      <w:r>
        <w:rPr>
          <w:color w:val="666666"/>
          <w:sz w:val="20"/>
        </w:rPr>
        <w:t>This report is prepared for research and validation purposes only. Backtested results are historical simulations and do not represent actual trading performance. Algorithmic trading involves significant risk of loss. Past performance is not indicative of future results. The strategies described herein should be thoroughly validated in paper trading before any live capital deployment. The authors and contributors accept no liability for trading losses incurred through the application of these strategies.</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