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Acme Robotics — Employee Handbook 2025</w:t>
      </w:r>
    </w:p>
    <w:p>
      <w:pPr>
        <w:pStyle w:val="Heading1"/>
      </w:pPr>
      <w:r>
        <w:t>1. Paid Time Off</w:t>
      </w:r>
    </w:p>
    <w:p>
      <w:r>
        <w:t>New full-time employees accrue 18 days of paid vacation per year during their first two years of employment. After completing two years of service, the annual allowance increases to 24 days. Unused vacation of up to 5 days may be carried over into the following calendar year.</w:t>
      </w:r>
    </w:p>
    <w:p>
      <w:pPr>
        <w:pStyle w:val="Heading1"/>
      </w:pPr>
      <w:r>
        <w:t>2. Remote Work</w:t>
      </w:r>
    </w:p>
    <w:p>
      <w:r>
        <w:t>Acme operates on a hybrid model. Employees are expected on-site Tuesday through Thursday, and may work remotely on Mondays and Fridays. Fully remote arrangements require director-level approval and are reviewed every six months.</w:t>
      </w:r>
    </w:p>
    <w:p>
      <w:pPr>
        <w:pStyle w:val="Heading1"/>
      </w:pPr>
      <w:r>
        <w:t>3. Equipment and Reimbursement</w:t>
      </w:r>
    </w:p>
    <w:p>
      <w:r>
        <w:t>Each employee receives a laptop and a one-time home-office stipend of $750. Internet costs are reimbursed up to $40 per month for remote work days. Reimbursement claims must be submitted within 30 days through the finance portal.</w:t>
      </w:r>
    </w:p>
    <w:p>
      <w:pPr>
        <w:pStyle w:val="Heading1"/>
      </w:pPr>
      <w:r>
        <w:t>4. Professional Development</w:t>
      </w:r>
    </w:p>
    <w:p>
      <w:r>
        <w:t>Acme funds up to $2,000 per employee per year for conferences, courses, and certifications relevant to the employee's role. Requests are approved by the employee's manager and must be booked at least four weeks in advance.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