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40"/>
        <w:jc w:val="center"/>
      </w:pPr>
      <w:r>
        <w:rPr>
          <w:rFonts w:ascii="Liberation Sans" w:hAnsi="Liberation Sans"/>
        </w:rPr>
        <w:t>Causal Energy Intelligence Methodology Handbook</w:t>
      </w:r>
    </w:p>
    <w:p>
      <w:pPr>
        <w:pStyle w:val="Subtitle"/>
        <w:jc w:val="center"/>
      </w:pPr>
      <w:r>
        <w:rPr>
          <w:rFonts w:ascii="Liberation Sans" w:hAnsi="Liberation Sans"/>
        </w:rPr>
        <w:t>Forecasting Recommendations Causal Inference and Production Operations</w:t>
      </w:r>
    </w:p>
    <w:p>
      <w:pPr>
        <w:widowControl/>
        <w:spacing w:after="320"/>
        <w:jc w:val="center"/>
      </w:pPr>
      <w:r>
        <w:rPr>
          <w:rFonts w:ascii="Liberation Sans" w:hAnsi="Liberation Sans"/>
          <w:color w:val="5E6B65"/>
        </w:rPr>
        <w:t>Version 1.1</w:t>
      </w:r>
    </w:p>
    <w:p>
      <w:pPr>
        <w:widowControl/>
        <w:ind w:left="504" w:right="504"/>
      </w:pPr>
      <w:r>
        <w:rPr>
          <w:rFonts w:ascii="Liberation Sans" w:hAnsi="Liberation Sans"/>
        </w:rPr>
        <w:t>Current through 20 September 2026</w:t>
      </w:r>
    </w:p>
    <w:p>
      <w:pPr>
        <w:widowControl/>
        <w:ind w:left="504" w:right="504"/>
      </w:pPr>
      <w:r>
        <w:rPr>
          <w:rFonts w:ascii="Liberation Sans" w:hAnsi="Liberation Sans"/>
        </w:rPr>
        <w:t>This handbook explains the complete reasoning behind the Causal Energy Intelligence platform. It is written as an interview study guide and as the running record of the methodology. The goal is to make the system understandable after a long break from the project, while preserving enough technical detail to defend each design choice.</w:t>
      </w:r>
    </w:p>
    <w:p>
      <w:pPr>
        <w:widowControl/>
        <w:ind w:left="504" w:right="504"/>
      </w:pPr>
      <w:r>
        <w:rPr>
          <w:rFonts w:ascii="Liberation Sans" w:hAnsi="Liberation Sans"/>
        </w:rPr>
        <w:t>The central idea is simple. The platform does not try to win a forecasting competition for its own sake. It tries to answer a decision question: given a flexible electricity workload, which feasible future start times are likely to produce the best carbon and cost outcome, and how certain are we?</w:t>
      </w:r>
    </w:p>
    <w:p>
      <w:pPr>
        <w:widowControl/>
        <w:ind w:left="504" w:right="504"/>
      </w:pPr>
      <w:r>
        <w:rPr>
          <w:rFonts w:ascii="Liberation Sans" w:hAnsi="Liberation Sans"/>
        </w:rPr>
        <w:t>The current system has three analytical layers. Forecasting estimates future grid conditions. Recommendation logic compares feasible hours and ranks them. The causal layer asks a harder question: what emissions change would the workload itself cause if moved from one hour to another? These layers are related, but they are not interchangeable.</w:t>
      </w:r>
    </w:p>
    <w:p>
      <w:r>
        <w:br w:type="page"/>
      </w:r>
    </w:p>
    <w:p>
      <w:pPr>
        <w:pStyle w:val="Heading1"/>
        <w:keepNext/>
      </w:pPr>
      <w:r>
        <w:rPr>
          <w:rFonts w:ascii="Liberation Sans" w:hAnsi="Liberation Sans"/>
        </w:rPr>
        <w:t>Contents</w:t>
      </w:r>
    </w:p>
    <w:p>
      <w:pPr>
        <w:widowControl/>
        <w:spacing w:after="0" w:line="240" w:lineRule="auto"/>
        <w:ind w:left="346" w:hanging="346"/>
      </w:pPr>
      <w:r>
        <w:rPr>
          <w:rFonts w:ascii="Liberation Sans" w:hAnsi="Liberation Sans"/>
          <w:sz w:val="20"/>
        </w:rPr>
        <w:t>1. How To Use This Handbook</w:t>
      </w:r>
    </w:p>
    <w:p>
      <w:pPr>
        <w:widowControl/>
        <w:spacing w:after="0" w:line="240" w:lineRule="auto"/>
        <w:ind w:left="346" w:hanging="346"/>
      </w:pPr>
      <w:r>
        <w:rPr>
          <w:rFonts w:ascii="Liberation Sans" w:hAnsi="Liberation Sans"/>
          <w:sz w:val="20"/>
        </w:rPr>
        <w:t>2. Chapter 1 The Product Decision</w:t>
      </w:r>
    </w:p>
    <w:p>
      <w:pPr>
        <w:widowControl/>
        <w:spacing w:after="0" w:line="240" w:lineRule="auto"/>
        <w:ind w:left="346" w:hanging="346"/>
      </w:pPr>
      <w:r>
        <w:rPr>
          <w:rFonts w:ascii="Liberation Sans" w:hAnsi="Liberation Sans"/>
          <w:sz w:val="20"/>
        </w:rPr>
        <w:t>3. Chapter 2 The End To End Architecture</w:t>
      </w:r>
    </w:p>
    <w:p>
      <w:pPr>
        <w:widowControl/>
        <w:spacing w:after="0" w:line="240" w:lineRule="auto"/>
        <w:ind w:left="346" w:hanging="346"/>
      </w:pPr>
      <w:r>
        <w:rPr>
          <w:rFonts w:ascii="Liberation Sans" w:hAnsi="Liberation Sans"/>
          <w:sz w:val="20"/>
        </w:rPr>
        <w:t>4. Chapter 3 Data Sources And Contracts</w:t>
      </w:r>
    </w:p>
    <w:p>
      <w:pPr>
        <w:widowControl/>
        <w:spacing w:after="0" w:line="240" w:lineRule="auto"/>
        <w:ind w:left="346" w:hanging="346"/>
      </w:pPr>
      <w:r>
        <w:rPr>
          <w:rFonts w:ascii="Liberation Sans" w:hAnsi="Liberation Sans"/>
          <w:sz w:val="20"/>
        </w:rPr>
        <w:t>5. Chapter 4 Forecast Time Integrity</w:t>
      </w:r>
    </w:p>
    <w:p>
      <w:pPr>
        <w:widowControl/>
        <w:spacing w:after="0" w:line="240" w:lineRule="auto"/>
        <w:ind w:left="346" w:hanging="346"/>
      </w:pPr>
      <w:r>
        <w:rPr>
          <w:rFonts w:ascii="Liberation Sans" w:hAnsi="Liberation Sans"/>
          <w:sz w:val="20"/>
        </w:rPr>
        <w:t>6. Chapter 5 Forecasting Models And Validation</w:t>
      </w:r>
    </w:p>
    <w:p>
      <w:pPr>
        <w:widowControl/>
        <w:spacing w:after="0" w:line="240" w:lineRule="auto"/>
        <w:ind w:left="346" w:hanging="346"/>
      </w:pPr>
      <w:r>
        <w:rPr>
          <w:rFonts w:ascii="Liberation Sans" w:hAnsi="Liberation Sans"/>
          <w:sz w:val="20"/>
        </w:rPr>
        <w:t>7. Chapter 6 Carbon Accounting</w:t>
      </w:r>
    </w:p>
    <w:p>
      <w:pPr>
        <w:widowControl/>
        <w:spacing w:after="0" w:line="240" w:lineRule="auto"/>
        <w:ind w:left="346" w:hanging="346"/>
      </w:pPr>
      <w:r>
        <w:rPr>
          <w:rFonts w:ascii="Liberation Sans" w:hAnsi="Liberation Sans"/>
          <w:sz w:val="20"/>
        </w:rPr>
        <w:t>8. Chapter 7 Recommendation Ranking</w:t>
      </w:r>
    </w:p>
    <w:p>
      <w:pPr>
        <w:widowControl/>
        <w:spacing w:after="0" w:line="240" w:lineRule="auto"/>
        <w:ind w:left="346" w:hanging="346"/>
      </w:pPr>
      <w:r>
        <w:rPr>
          <w:rFonts w:ascii="Liberation Sans" w:hAnsi="Liberation Sans"/>
          <w:sz w:val="20"/>
        </w:rPr>
        <w:t>9. Chapter 8 Uncertainty And Confidence</w:t>
      </w:r>
    </w:p>
    <w:p>
      <w:pPr>
        <w:widowControl/>
        <w:spacing w:after="0" w:line="240" w:lineRule="auto"/>
        <w:ind w:left="346" w:hanging="346"/>
      </w:pPr>
      <w:r>
        <w:rPr>
          <w:rFonts w:ascii="Liberation Sans" w:hAnsi="Liberation Sans"/>
          <w:sz w:val="20"/>
        </w:rPr>
        <w:t>10. Chapter 9 Recommendation Evaluation</w:t>
      </w:r>
    </w:p>
    <w:p>
      <w:pPr>
        <w:widowControl/>
        <w:spacing w:after="0" w:line="240" w:lineRule="auto"/>
        <w:ind w:left="346" w:hanging="346"/>
      </w:pPr>
      <w:r>
        <w:rPr>
          <w:rFonts w:ascii="Liberation Sans" w:hAnsi="Liberation Sans"/>
          <w:sz w:val="20"/>
        </w:rPr>
        <w:t>11. Chapter 10 Average And Marginal Emissions</w:t>
      </w:r>
    </w:p>
    <w:p>
      <w:pPr>
        <w:widowControl/>
        <w:spacing w:after="0" w:line="240" w:lineRule="auto"/>
        <w:ind w:left="346" w:hanging="346"/>
      </w:pPr>
      <w:r>
        <w:rPr>
          <w:rFonts w:ascii="Liberation Sans" w:hAnsi="Liberation Sans"/>
          <w:sz w:val="20"/>
        </w:rPr>
        <w:t>12. Chapter 11 The Causal Estimand</w:t>
      </w:r>
    </w:p>
    <w:p>
      <w:pPr>
        <w:widowControl/>
        <w:spacing w:after="0" w:line="240" w:lineRule="auto"/>
        <w:ind w:left="346" w:hanging="346"/>
      </w:pPr>
      <w:r>
        <w:rPr>
          <w:rFonts w:ascii="Liberation Sans" w:hAnsi="Liberation Sans"/>
          <w:sz w:val="20"/>
        </w:rPr>
        <w:t>13. Chapter 12 The Causal Graphs</w:t>
      </w:r>
    </w:p>
    <w:p>
      <w:pPr>
        <w:widowControl/>
        <w:spacing w:after="0" w:line="240" w:lineRule="auto"/>
        <w:ind w:left="346" w:hanging="346"/>
      </w:pPr>
      <w:r>
        <w:rPr>
          <w:rFonts w:ascii="Liberation Sans" w:hAnsi="Liberation Sans"/>
          <w:sz w:val="20"/>
        </w:rPr>
        <w:t>14. Chapter 13 Building A Stronger Causal Estimator</w:t>
      </w:r>
    </w:p>
    <w:p>
      <w:pPr>
        <w:widowControl/>
        <w:spacing w:after="0" w:line="240" w:lineRule="auto"/>
        <w:ind w:left="346" w:hanging="346"/>
      </w:pPr>
      <w:r>
        <w:rPr>
          <w:rFonts w:ascii="Liberation Sans" w:hAnsi="Liberation Sans"/>
          <w:sz w:val="20"/>
        </w:rPr>
        <w:t>15. Chapter 14 Production Orchestration</w:t>
      </w:r>
    </w:p>
    <w:p>
      <w:pPr>
        <w:widowControl/>
        <w:spacing w:after="0" w:line="240" w:lineRule="auto"/>
        <w:ind w:left="346" w:hanging="346"/>
      </w:pPr>
      <w:r>
        <w:rPr>
          <w:rFonts w:ascii="Liberation Sans" w:hAnsi="Liberation Sans"/>
          <w:sz w:val="20"/>
        </w:rPr>
        <w:t>16. Chapter 15 Dashboard Interpretation</w:t>
      </w:r>
    </w:p>
    <w:p>
      <w:pPr>
        <w:widowControl/>
        <w:spacing w:after="0" w:line="240" w:lineRule="auto"/>
        <w:ind w:left="346" w:hanging="346"/>
      </w:pPr>
      <w:r>
        <w:rPr>
          <w:rFonts w:ascii="Liberation Sans" w:hAnsi="Liberation Sans"/>
          <w:sz w:val="20"/>
        </w:rPr>
        <w:t>17. Chapter 16 Limitations And Honest Claims</w:t>
      </w:r>
    </w:p>
    <w:p>
      <w:pPr>
        <w:widowControl/>
        <w:spacing w:after="0" w:line="240" w:lineRule="auto"/>
        <w:ind w:left="346" w:hanging="346"/>
      </w:pPr>
      <w:r>
        <w:rPr>
          <w:rFonts w:ascii="Liberation Sans" w:hAnsi="Liberation Sans"/>
          <w:sz w:val="20"/>
        </w:rPr>
        <w:t>18. Chapter 17 Interview Questions And Answers</w:t>
      </w:r>
    </w:p>
    <w:p>
      <w:pPr>
        <w:widowControl/>
        <w:spacing w:after="0" w:line="240" w:lineRule="auto"/>
        <w:ind w:left="346" w:hanging="346"/>
      </w:pPr>
      <w:r>
        <w:rPr>
          <w:rFonts w:ascii="Liberation Sans" w:hAnsi="Liberation Sans"/>
          <w:sz w:val="20"/>
        </w:rPr>
        <w:t>19. Glossary</w:t>
      </w:r>
    </w:p>
    <w:p>
      <w:pPr>
        <w:widowControl/>
        <w:spacing w:after="0" w:line="240" w:lineRule="auto"/>
        <w:ind w:left="346" w:hanging="346"/>
      </w:pPr>
      <w:r>
        <w:rPr>
          <w:rFonts w:ascii="Liberation Sans" w:hAnsi="Liberation Sans"/>
          <w:sz w:val="20"/>
        </w:rPr>
        <w:t>20. Repository Guide</w:t>
      </w:r>
    </w:p>
    <w:p>
      <w:pPr>
        <w:widowControl/>
        <w:spacing w:after="0" w:line="240" w:lineRule="auto"/>
        <w:ind w:left="346" w:hanging="346"/>
      </w:pPr>
      <w:r>
        <w:rPr>
          <w:rFonts w:ascii="Liberation Sans" w:hAnsi="Liberation Sans"/>
          <w:sz w:val="20"/>
        </w:rPr>
        <w:t>21. Running Document Update Checklist</w:t>
      </w:r>
    </w:p>
    <w:p>
      <w:pPr>
        <w:widowControl/>
        <w:spacing w:after="0" w:line="240" w:lineRule="auto"/>
        <w:ind w:left="346" w:hanging="346"/>
      </w:pPr>
      <w:r>
        <w:rPr>
          <w:rFonts w:ascii="Liberation Sans" w:hAnsi="Liberation Sans"/>
          <w:sz w:val="20"/>
        </w:rPr>
        <w:t>22. Research References</w:t>
      </w:r>
    </w:p>
    <w:p>
      <w:r>
        <w:br w:type="page"/>
      </w:r>
    </w:p>
    <w:p>
      <w:pPr>
        <w:pStyle w:val="Heading1"/>
        <w:keepNext/>
      </w:pPr>
      <w:r>
        <w:rPr>
          <w:rFonts w:ascii="Liberation Sans" w:hAnsi="Liberation Sans"/>
        </w:rPr>
        <w:t>How To Use This Handbook</w:t>
      </w:r>
    </w:p>
    <w:p>
      <w:pPr>
        <w:widowControl/>
      </w:pPr>
      <w:r>
        <w:rPr>
          <w:rFonts w:ascii="Liberation Sans" w:hAnsi="Liberation Sans"/>
        </w:rPr>
        <w:t>Read Chapters 1 through 4 before an interview if you need the product story and architecture. Read Chapters 5 through 9 for forecasting, ranking, uncertainty, and evaluation. Read Chapters 10 through 13 for carbon accounting and causal inference. Chapters 14 through 17 cover production operations, limitations, interview questions, and the repository map.</w:t>
      </w:r>
    </w:p>
    <w:p>
      <w:pPr>
        <w:widowControl/>
      </w:pPr>
      <w:r>
        <w:rPr>
          <w:rFonts w:ascii="Liberation Sans" w:hAnsi="Liberation Sans"/>
        </w:rPr>
        <w:t>When a generated metric conflicts with a number written in an older document, use the latest report artifact as the source of truth. Model performance changes as data, validation windows, and champions change. This handbook focuses on definitions and decision rules that should remain stable.</w:t>
      </w:r>
    </w:p>
    <w:p>
      <w:pPr>
        <w:pStyle w:val="Heading2"/>
        <w:keepNext/>
      </w:pPr>
      <w:r>
        <w:rPr>
          <w:rFonts w:ascii="Liberation Sans" w:hAnsi="Liberation Sans"/>
        </w:rPr>
        <w:t>Short Interview Summary</w:t>
      </w:r>
    </w:p>
    <w:p>
      <w:pPr>
        <w:widowControl/>
      </w:pPr>
      <w:r>
        <w:rPr>
          <w:rFonts w:ascii="Liberation Sans" w:hAnsi="Liberation Sans"/>
        </w:rPr>
        <w:t>The platform schedules flexible electricity workloads into cleaner future hours. It ingests French electricity, weather, and price data; builds leakage-safe hourly features; forecasts consumption, production by source, carbon intensity, and supporting price signals; then ranks feasible workload windows. Models are selected by recommendation regret and ranking quality rather than forecast error alone. Recommendations include uncertainty guards, empirically calibrated confidence, scenario-specific rankings, and historical outcome audits. The causal work currently uses an explicitly labeled marginal-emissions proxy and now has a versioned causal estimand and DAG. The next causal step is an identified marginal-response estimator validated against a European dispatch model.</w:t>
      </w:r>
    </w:p>
    <w:p>
      <w:pPr>
        <w:pStyle w:val="Heading1"/>
        <w:keepNext/>
      </w:pPr>
      <w:r>
        <w:rPr>
          <w:rFonts w:ascii="Liberation Sans" w:hAnsi="Liberation Sans"/>
        </w:rPr>
        <w:t>Chapter 1 The Product Decision</w:t>
      </w:r>
    </w:p>
    <w:p>
      <w:pPr>
        <w:pStyle w:val="Heading2"/>
        <w:keepNext/>
      </w:pPr>
      <w:r>
        <w:rPr>
          <w:rFonts w:ascii="Liberation Sans" w:hAnsi="Liberation Sans"/>
        </w:rPr>
        <w:t>The Business Problem</w:t>
      </w:r>
    </w:p>
    <w:p>
      <w:pPr>
        <w:widowControl/>
      </w:pPr>
      <w:r>
        <w:rPr>
          <w:rFonts w:ascii="Liberation Sans" w:hAnsi="Liberation Sans"/>
        </w:rPr>
        <w:t>Data centres, EV fleets, batteries, and some industrial processes can choose when to consume electricity. Their work still has to be completed, but the start time may be flexible. The electricity grid changes from hour to hour. The generation mix, demand, price, imports, outages, and renewable availability all change. Moving a workload can therefore change its expected cost and emissions.</w:t>
      </w:r>
    </w:p>
    <w:p>
      <w:pPr>
        <w:widowControl/>
      </w:pPr>
      <w:r>
        <w:rPr>
          <w:rFonts w:ascii="Liberation Sans" w:hAnsi="Liberation Sans"/>
        </w:rPr>
        <w:t>The product turns that flexibility into a ranked list of future start times. It does not merely display a forecast chart. It makes a constrained decision recommendation.</w:t>
      </w:r>
    </w:p>
    <w:p>
      <w:pPr>
        <w:pStyle w:val="Heading2"/>
        <w:keepNext/>
      </w:pPr>
      <w:r>
        <w:rPr>
          <w:rFonts w:ascii="Liberation Sans" w:hAnsi="Liberation Sans"/>
        </w:rPr>
        <w:t>A Restaurant Analogy</w:t>
      </w:r>
    </w:p>
    <w:p>
      <w:pPr>
        <w:widowControl/>
      </w:pPr>
      <w:r>
        <w:rPr>
          <w:rFonts w:ascii="Liberation Sans" w:hAnsi="Liberation Sans"/>
        </w:rPr>
        <w:t>Imagine a restaurant that expects twenty customers over an evening. A demand forecast predicts how many customers arrive each hour. A recommendation system goes further: it tells a flexible customer when to arrive to minimize waiting time and price. A causal analysis asks an even harder question: if that customer changes arrival time, which cook, oven, or extra shift actually responds, and how much additional energy does that response consume?</w:t>
      </w:r>
    </w:p>
    <w:p>
      <w:pPr>
        <w:widowControl/>
      </w:pPr>
      <w:r>
        <w:rPr>
          <w:rFonts w:ascii="Liberation Sans" w:hAnsi="Liberation Sans"/>
        </w:rPr>
        <w:t>Electricity works similarly. Forecasting describes the likely grid. Ranking chooses an hour. Causal inference estimates the consequence of the workload entering the grid at that hour.</w:t>
      </w:r>
    </w:p>
    <w:p>
      <w:pPr>
        <w:pStyle w:val="Heading2"/>
        <w:keepNext/>
      </w:pPr>
      <w:r>
        <w:rPr>
          <w:rFonts w:ascii="Liberation Sans" w:hAnsi="Liberation Sans"/>
        </w:rPr>
        <w:t>The Decision Unit</w:t>
      </w:r>
    </w:p>
    <w:p>
      <w:pPr>
        <w:widowControl/>
      </w:pPr>
      <w:r>
        <w:rPr>
          <w:rFonts w:ascii="Liberation Sans" w:hAnsi="Liberation Sans"/>
        </w:rPr>
        <w:t>The normalized decision unit is a one MWh workload lasting one hour. This makes results comparable. A real user can later provide workload energy, duration, earliest start, deadline, and maximum delay. Candidate windows must be contiguous and feasible.</w:t>
      </w:r>
    </w:p>
    <w:p>
      <w:pPr>
        <w:widowControl/>
      </w:pPr>
      <w:r>
        <w:rPr>
          <w:rFonts w:ascii="Liberation Sans" w:hAnsi="Liberation Sans"/>
        </w:rPr>
        <w:t>The primary target users are data-centre batch workloads and EV or battery charging. These users differ operationally, so the normalized unit is a reference rather than a claim that all workloads behave identically.</w:t>
      </w:r>
    </w:p>
    <w:p>
      <w:pPr>
        <w:pStyle w:val="Heading1"/>
        <w:keepNext/>
      </w:pPr>
      <w:r>
        <w:rPr>
          <w:rFonts w:ascii="Liberation Sans" w:hAnsi="Liberation Sans"/>
        </w:rPr>
        <w:t>Chapter 2 The End To End Architecture</w:t>
      </w:r>
    </w:p>
    <w:p>
      <w:pPr>
        <w:widowControl/>
      </w:pPr>
      <w:r>
        <w:rPr>
          <w:rFonts w:ascii="Liberation Sans" w:hAnsi="Liberation Sans"/>
        </w:rPr>
        <w:t>The operational path is:</w:t>
      </w:r>
    </w:p>
    <w:p>
      <w:pPr>
        <w:spacing w:before="80" w:after="140" w:line="240" w:lineRule="auto"/>
        <w:ind w:left="403" w:right="403"/>
        <w:shd w:fill="F3F5F4"/>
      </w:pPr>
      <w:r>
        <w:rPr>
          <w:rFonts w:ascii="Liberation Mono" w:hAnsi="Liberation Mono"/>
          <w:sz w:val="17"/>
        </w:rPr>
        <w:t>Source APIs</w:t>
        <w:br/>
        <w:t xml:space="preserve">  -&gt; canonical hourly data</w:t>
        <w:br/>
        <w:t xml:space="preserve">  -&gt; quality and freshness checks</w:t>
        <w:br/>
        <w:t xml:space="preserve">  -&gt; forecasting features</w:t>
        <w:br/>
        <w:t xml:space="preserve">  -&gt; consumption and production forecasts</w:t>
        <w:br/>
        <w:t xml:space="preserve">  -&gt; source generation forecasts</w:t>
        <w:br/>
        <w:t xml:space="preserve">  -&gt; carbon and price signals</w:t>
        <w:br/>
        <w:t xml:space="preserve">  -&gt; feasible workload windows</w:t>
        <w:br/>
        <w:t xml:space="preserve">  -&gt; scenario and uncertainty aware ranking</w:t>
        <w:br/>
        <w:t xml:space="preserve">  -&gt; top five recommendations</w:t>
        <w:br/>
        <w:t xml:space="preserve">  -&gt; dashboard and history logging</w:t>
        <w:br/>
        <w:t xml:space="preserve">  -&gt; actual outcome audit after hours settle</w:t>
      </w:r>
    </w:p>
    <w:p>
      <w:pPr>
        <w:widowControl/>
      </w:pPr>
      <w:r>
        <w:rPr>
          <w:rFonts w:ascii="Liberation Sans" w:hAnsi="Liberation Sans"/>
        </w:rPr>
        <w:t>This sequence matters. Each stage produces a contract consumed by the next stage. A recommendation can be wrong because the input data was stale, because an upstream forecast missed, because the ranking objective was poorly specified, or because the estimated carbon basis did not represent the true grid response. Monitoring therefore has to inspect the whole chain.</w:t>
      </w:r>
    </w:p>
    <w:p>
      <w:pPr>
        <w:pStyle w:val="Heading2"/>
        <w:keepNext/>
      </w:pPr>
      <w:r>
        <w:rPr>
          <w:rFonts w:ascii="Liberation Sans" w:hAnsi="Liberation Sans"/>
        </w:rPr>
        <w:t>Separation Of Responsibilities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tblHeader w:val="true"/>
          <w:cantSplit/>
        </w:trPr>
        <w:tc>
          <w:tcPr>
            <w:tcW w:type="dxa" w:w="3293"/>
            <w:vAlign w:val="center"/>
            <w:shd w:fill="315A4B"/>
            <w:tcMar>
              <w:top w:w="90" w:type="dxa"/>
              <w:start w:w="110" w:type="dxa"/>
              <w:bottom w:w="90" w:type="dxa"/>
              <w:end w:w="110" w:type="dxa"/>
            </w:tcMar>
          </w:tcPr>
          <w:p>
            <w:pPr>
              <w:jc w:val="center"/>
            </w:pPr>
            <w:r>
              <w:rPr>
                <w:rFonts w:ascii="Liberation Sans" w:hAnsi="Liberation Sans"/>
                <w:b/>
                <w:color w:val="FFFFFF"/>
                <w:sz w:val="18"/>
              </w:rPr>
              <w:t>Layer</w:t>
            </w:r>
          </w:p>
        </w:tc>
        <w:tc>
          <w:tcPr>
            <w:tcW w:type="dxa" w:w="3293"/>
            <w:vAlign w:val="center"/>
            <w:shd w:fill="315A4B"/>
            <w:tcMar>
              <w:top w:w="90" w:type="dxa"/>
              <w:start w:w="110" w:type="dxa"/>
              <w:bottom w:w="90" w:type="dxa"/>
              <w:end w:w="110" w:type="dxa"/>
            </w:tcMar>
          </w:tcPr>
          <w:p>
            <w:pPr>
              <w:jc w:val="center"/>
            </w:pPr>
            <w:r>
              <w:rPr>
                <w:rFonts w:ascii="Liberation Sans" w:hAnsi="Liberation Sans"/>
                <w:b/>
                <w:color w:val="FFFFFF"/>
                <w:sz w:val="18"/>
              </w:rPr>
              <w:t>Main question</w:t>
            </w:r>
          </w:p>
        </w:tc>
        <w:tc>
          <w:tcPr>
            <w:tcW w:type="dxa" w:w="3293"/>
            <w:vAlign w:val="center"/>
            <w:shd w:fill="315A4B"/>
            <w:tcMar>
              <w:top w:w="90" w:type="dxa"/>
              <w:start w:w="110" w:type="dxa"/>
              <w:bottom w:w="90" w:type="dxa"/>
              <w:end w:w="110" w:type="dxa"/>
            </w:tcMar>
          </w:tcPr>
          <w:p>
            <w:pPr>
              <w:jc w:val="center"/>
            </w:pPr>
            <w:r>
              <w:rPr>
                <w:rFonts w:ascii="Liberation Sans" w:hAnsi="Liberation Sans"/>
                <w:b/>
                <w:color w:val="FFFFFF"/>
                <w:sz w:val="18"/>
              </w:rPr>
              <w:t>Typical output</w:t>
            </w:r>
          </w:p>
        </w:tc>
      </w:tr>
      <w:tr>
        <w:trPr>
          <w:cantSplit/>
        </w:trPr>
        <w:tc>
          <w:tcPr>
            <w:tcW w:type="dxa" w:w="3293"/>
            <w:vAlign w:val="center"/>
            <w:tcMar>
              <w:top w:w="90" w:type="dxa"/>
              <w:start w:w="110" w:type="dxa"/>
              <w:bottom w:w="90" w:type="dxa"/>
              <w:end w:w="110" w:type="dxa"/>
            </w:tcMar>
          </w:tcPr>
          <w:p>
            <w:pPr>
              <w:jc w:val="left"/>
            </w:pPr>
            <w:r>
              <w:rPr>
                <w:rFonts w:ascii="Liberation Sans" w:hAnsi="Liberation Sans"/>
                <w:sz w:val="17"/>
              </w:rPr>
              <w:t>Data</w:t>
            </w:r>
          </w:p>
        </w:tc>
        <w:tc>
          <w:tcPr>
            <w:tcW w:type="dxa" w:w="3293"/>
            <w:vAlign w:val="center"/>
            <w:tcMar>
              <w:top w:w="90" w:type="dxa"/>
              <w:start w:w="110" w:type="dxa"/>
              <w:bottom w:w="90" w:type="dxa"/>
              <w:end w:w="110" w:type="dxa"/>
            </w:tcMar>
          </w:tcPr>
          <w:p>
            <w:pPr>
              <w:jc w:val="left"/>
            </w:pPr>
            <w:r>
              <w:rPr>
                <w:rFonts w:ascii="Liberation Sans" w:hAnsi="Liberation Sans"/>
                <w:sz w:val="17"/>
              </w:rPr>
              <w:t>What happened and what information is available now</w:t>
            </w:r>
          </w:p>
        </w:tc>
        <w:tc>
          <w:tcPr>
            <w:tcW w:type="dxa" w:w="3293"/>
            <w:vAlign w:val="center"/>
            <w:tcMar>
              <w:top w:w="90" w:type="dxa"/>
              <w:start w:w="110" w:type="dxa"/>
              <w:bottom w:w="90" w:type="dxa"/>
              <w:end w:w="110" w:type="dxa"/>
            </w:tcMar>
          </w:tcPr>
          <w:p>
            <w:pPr>
              <w:jc w:val="left"/>
            </w:pPr>
            <w:r>
              <w:rPr>
                <w:rFonts w:ascii="Liberation Sans" w:hAnsi="Liberation Sans"/>
                <w:sz w:val="17"/>
              </w:rPr>
              <w:t>Canonical hourly observations and future exogenous data</w:t>
            </w:r>
          </w:p>
        </w:tc>
      </w:tr>
      <w:tr>
        <w:trPr>
          <w:cantSplit/>
        </w:trPr>
        <w:tc>
          <w:tcPr>
            <w:tcW w:type="dxa" w:w="3293"/>
            <w:vAlign w:val="center"/>
            <w:tcMar>
              <w:top w:w="90" w:type="dxa"/>
              <w:start w:w="110" w:type="dxa"/>
              <w:bottom w:w="90" w:type="dxa"/>
              <w:end w:w="110" w:type="dxa"/>
            </w:tcMar>
            <w:shd w:fill="EDF4F1"/>
          </w:tcPr>
          <w:p>
            <w:pPr>
              <w:jc w:val="left"/>
            </w:pPr>
            <w:r>
              <w:rPr>
                <w:rFonts w:ascii="Liberation Sans" w:hAnsi="Liberation Sans"/>
                <w:sz w:val="17"/>
              </w:rPr>
              <w:t>Forecasting</w:t>
            </w:r>
          </w:p>
        </w:tc>
        <w:tc>
          <w:tcPr>
            <w:tcW w:type="dxa" w:w="3293"/>
            <w:vAlign w:val="center"/>
            <w:tcMar>
              <w:top w:w="90" w:type="dxa"/>
              <w:start w:w="110" w:type="dxa"/>
              <w:bottom w:w="90" w:type="dxa"/>
              <w:end w:w="110" w:type="dxa"/>
            </w:tcMar>
            <w:shd w:fill="EDF4F1"/>
          </w:tcPr>
          <w:p>
            <w:pPr>
              <w:jc w:val="left"/>
            </w:pPr>
            <w:r>
              <w:rPr>
                <w:rFonts w:ascii="Liberation Sans" w:hAnsi="Liberation Sans"/>
                <w:sz w:val="17"/>
              </w:rPr>
              <w:t>What grid conditions are likely in future hours</w:t>
            </w:r>
          </w:p>
        </w:tc>
        <w:tc>
          <w:tcPr>
            <w:tcW w:type="dxa" w:w="3293"/>
            <w:vAlign w:val="center"/>
            <w:tcMar>
              <w:top w:w="90" w:type="dxa"/>
              <w:start w:w="110" w:type="dxa"/>
              <w:bottom w:w="90" w:type="dxa"/>
              <w:end w:w="110" w:type="dxa"/>
            </w:tcMar>
            <w:shd w:fill="EDF4F1"/>
          </w:tcPr>
          <w:p>
            <w:pPr>
              <w:jc w:val="left"/>
            </w:pPr>
            <w:r>
              <w:rPr>
                <w:rFonts w:ascii="Liberation Sans" w:hAnsi="Liberation Sans"/>
                <w:sz w:val="17"/>
              </w:rPr>
              <w:t>Predicted consumption production price and carbon signals</w:t>
            </w:r>
          </w:p>
        </w:tc>
      </w:tr>
      <w:tr>
        <w:trPr>
          <w:cantSplit/>
        </w:trPr>
        <w:tc>
          <w:tcPr>
            <w:tcW w:type="dxa" w:w="3293"/>
            <w:vAlign w:val="center"/>
            <w:tcMar>
              <w:top w:w="90" w:type="dxa"/>
              <w:start w:w="110" w:type="dxa"/>
              <w:bottom w:w="90" w:type="dxa"/>
              <w:end w:w="110" w:type="dxa"/>
            </w:tcMar>
          </w:tcPr>
          <w:p>
            <w:pPr>
              <w:jc w:val="left"/>
            </w:pPr>
            <w:r>
              <w:rPr>
                <w:rFonts w:ascii="Liberation Sans" w:hAnsi="Liberation Sans"/>
                <w:sz w:val="17"/>
              </w:rPr>
              <w:t>Recommendation</w:t>
            </w:r>
          </w:p>
        </w:tc>
        <w:tc>
          <w:tcPr>
            <w:tcW w:type="dxa" w:w="3293"/>
            <w:vAlign w:val="center"/>
            <w:tcMar>
              <w:top w:w="90" w:type="dxa"/>
              <w:start w:w="110" w:type="dxa"/>
              <w:bottom w:w="90" w:type="dxa"/>
              <w:end w:w="110" w:type="dxa"/>
            </w:tcMar>
          </w:tcPr>
          <w:p>
            <w:pPr>
              <w:jc w:val="left"/>
            </w:pPr>
            <w:r>
              <w:rPr>
                <w:rFonts w:ascii="Liberation Sans" w:hAnsi="Liberation Sans"/>
                <w:sz w:val="17"/>
              </w:rPr>
              <w:t>Which feasible hour has the best expected decision outcome</w:t>
            </w:r>
          </w:p>
        </w:tc>
        <w:tc>
          <w:tcPr>
            <w:tcW w:type="dxa" w:w="3293"/>
            <w:vAlign w:val="center"/>
            <w:tcMar>
              <w:top w:w="90" w:type="dxa"/>
              <w:start w:w="110" w:type="dxa"/>
              <w:bottom w:w="90" w:type="dxa"/>
              <w:end w:w="110" w:type="dxa"/>
            </w:tcMar>
          </w:tcPr>
          <w:p>
            <w:pPr>
              <w:jc w:val="left"/>
            </w:pPr>
            <w:r>
              <w:rPr>
                <w:rFonts w:ascii="Liberation Sans" w:hAnsi="Liberation Sans"/>
                <w:sz w:val="17"/>
              </w:rPr>
              <w:t>Ranked candidate windows and top five list</w:t>
            </w:r>
          </w:p>
        </w:tc>
      </w:tr>
      <w:tr>
        <w:trPr>
          <w:cantSplit/>
        </w:trPr>
        <w:tc>
          <w:tcPr>
            <w:tcW w:type="dxa" w:w="3293"/>
            <w:vAlign w:val="center"/>
            <w:tcMar>
              <w:top w:w="90" w:type="dxa"/>
              <w:start w:w="110" w:type="dxa"/>
              <w:bottom w:w="90" w:type="dxa"/>
              <w:end w:w="110" w:type="dxa"/>
            </w:tcMar>
            <w:shd w:fill="EDF4F1"/>
          </w:tcPr>
          <w:p>
            <w:pPr>
              <w:jc w:val="left"/>
            </w:pPr>
            <w:r>
              <w:rPr>
                <w:rFonts w:ascii="Liberation Sans" w:hAnsi="Liberation Sans"/>
                <w:sz w:val="17"/>
              </w:rPr>
              <w:t>Causal inference</w:t>
            </w:r>
          </w:p>
        </w:tc>
        <w:tc>
          <w:tcPr>
            <w:tcW w:type="dxa" w:w="3293"/>
            <w:vAlign w:val="center"/>
            <w:tcMar>
              <w:top w:w="90" w:type="dxa"/>
              <w:start w:w="110" w:type="dxa"/>
              <w:bottom w:w="90" w:type="dxa"/>
              <w:end w:w="110" w:type="dxa"/>
            </w:tcMar>
            <w:shd w:fill="EDF4F1"/>
          </w:tcPr>
          <w:p>
            <w:pPr>
              <w:jc w:val="left"/>
            </w:pPr>
            <w:r>
              <w:rPr>
                <w:rFonts w:ascii="Liberation Sans" w:hAnsi="Liberation Sans"/>
                <w:sz w:val="17"/>
              </w:rPr>
              <w:t>What emissions change would the workload cause</w:t>
            </w:r>
          </w:p>
        </w:tc>
        <w:tc>
          <w:tcPr>
            <w:tcW w:type="dxa" w:w="3293"/>
            <w:vAlign w:val="center"/>
            <w:tcMar>
              <w:top w:w="90" w:type="dxa"/>
              <w:start w:w="110" w:type="dxa"/>
              <w:bottom w:w="90" w:type="dxa"/>
              <w:end w:w="110" w:type="dxa"/>
            </w:tcMar>
            <w:shd w:fill="EDF4F1"/>
          </w:tcPr>
          <w:p>
            <w:pPr>
              <w:jc w:val="left"/>
            </w:pPr>
            <w:r>
              <w:rPr>
                <w:rFonts w:ascii="Liberation Sans" w:hAnsi="Liberation Sans"/>
                <w:sz w:val="17"/>
              </w:rPr>
              <w:t>Treatment effect with uncertainty and evidence tier</w:t>
            </w:r>
          </w:p>
        </w:tc>
      </w:tr>
      <w:tr>
        <w:trPr>
          <w:cantSplit/>
        </w:trPr>
        <w:tc>
          <w:tcPr>
            <w:tcW w:type="dxa" w:w="3293"/>
            <w:vAlign w:val="center"/>
            <w:tcMar>
              <w:top w:w="90" w:type="dxa"/>
              <w:start w:w="110" w:type="dxa"/>
              <w:bottom w:w="90" w:type="dxa"/>
              <w:end w:w="110" w:type="dxa"/>
            </w:tcMar>
          </w:tcPr>
          <w:p>
            <w:pPr>
              <w:jc w:val="left"/>
            </w:pPr>
            <w:r>
              <w:rPr>
                <w:rFonts w:ascii="Liberation Sans" w:hAnsi="Liberation Sans"/>
                <w:sz w:val="17"/>
              </w:rPr>
              <w:t>Monitoring</w:t>
            </w:r>
          </w:p>
        </w:tc>
        <w:tc>
          <w:tcPr>
            <w:tcW w:type="dxa" w:w="3293"/>
            <w:vAlign w:val="center"/>
            <w:tcMar>
              <w:top w:w="90" w:type="dxa"/>
              <w:start w:w="110" w:type="dxa"/>
              <w:bottom w:w="90" w:type="dxa"/>
              <w:end w:w="110" w:type="dxa"/>
            </w:tcMar>
          </w:tcPr>
          <w:p>
            <w:pPr>
              <w:jc w:val="left"/>
            </w:pPr>
            <w:r>
              <w:rPr>
                <w:rFonts w:ascii="Liberation Sans" w:hAnsi="Liberation Sans"/>
                <w:sz w:val="17"/>
              </w:rPr>
              <w:t>Is the system fresh accurate and safe to publish</w:t>
            </w:r>
          </w:p>
        </w:tc>
        <w:tc>
          <w:tcPr>
            <w:tcW w:type="dxa" w:w="3293"/>
            <w:vAlign w:val="center"/>
            <w:tcMar>
              <w:top w:w="90" w:type="dxa"/>
              <w:start w:w="110" w:type="dxa"/>
              <w:bottom w:w="90" w:type="dxa"/>
              <w:end w:w="110" w:type="dxa"/>
            </w:tcMar>
          </w:tcPr>
          <w:p>
            <w:pPr>
              <w:jc w:val="left"/>
            </w:pPr>
            <w:r>
              <w:rPr>
                <w:rFonts w:ascii="Liberation Sans" w:hAnsi="Liberation Sans"/>
                <w:sz w:val="17"/>
              </w:rPr>
              <w:t>Health drift audit and promotion reports</w:t>
            </w:r>
          </w:p>
        </w:tc>
      </w:tr>
    </w:tbl>
    <w:p>
      <w:pPr>
        <w:spacing w:after="20"/>
      </w:pPr>
    </w:p>
    <w:p>
      <w:pPr>
        <w:widowControl/>
      </w:pPr>
      <w:r>
        <w:rPr>
          <w:rFonts w:ascii="Liberation Sans" w:hAnsi="Liberation Sans"/>
        </w:rPr>
        <w:t>The recommendation layer may use forecasts without making a causal claim. The causal layer requires an intervention definition, identification assumptions, and counterfactual reasoning.</w:t>
      </w:r>
    </w:p>
    <w:p>
      <w:pPr>
        <w:pStyle w:val="Heading1"/>
        <w:keepNext/>
      </w:pPr>
      <w:r>
        <w:rPr>
          <w:rFonts w:ascii="Liberation Sans" w:hAnsi="Liberation Sans"/>
        </w:rPr>
        <w:t>Chapter 3 Data Sources And Contracts</w:t>
      </w:r>
    </w:p>
    <w:p>
      <w:pPr>
        <w:pStyle w:val="Heading2"/>
        <w:keepNext/>
      </w:pPr>
      <w:r>
        <w:rPr>
          <w:rFonts w:ascii="Liberation Sans" w:hAnsi="Liberation Sans"/>
        </w:rPr>
        <w:t>Electricity Data</w:t>
      </w:r>
    </w:p>
    <w:p>
      <w:pPr>
        <w:widowControl/>
      </w:pPr>
      <w:r>
        <w:rPr>
          <w:rFonts w:ascii="Liberation Sans" w:hAnsi="Liberation Sans"/>
        </w:rPr>
        <w:t>Historical and near-real-time French electricity consumption and production come from ODRE Opendatasoft eco2mix datasets. The source data is available nationally and regionally at 15-minute resolution. The current scheduled cloud path stores national France data by default to control Supabase storage usage.</w:t>
      </w:r>
    </w:p>
    <w:p>
      <w:pPr>
        <w:widowControl/>
      </w:pPr>
      <w:r>
        <w:rPr>
          <w:rFonts w:ascii="Liberation Sans" w:hAnsi="Liberation Sans"/>
        </w:rPr>
        <w:t>The source values are power in MW. Four 15-minute observations are converted into hourly energy:</w:t>
      </w:r>
    </w:p>
    <w:p>
      <w:pPr>
        <w:spacing w:before="80" w:after="140" w:line="240" w:lineRule="auto"/>
        <w:ind w:left="403" w:right="403"/>
        <w:shd w:fill="F3F5F4"/>
      </w:pPr>
      <w:r>
        <w:rPr>
          <w:rFonts w:ascii="Liberation Mono" w:hAnsi="Liberation Mono"/>
          <w:sz w:val="17"/>
        </w:rPr>
        <w:t>hourly MWh = sum of MW observations multiplied by 0.25 hours</w:t>
      </w:r>
    </w:p>
    <w:p>
      <w:pPr>
        <w:widowControl/>
      </w:pPr>
      <w:r>
        <w:rPr>
          <w:rFonts w:ascii="Liberation Sans" w:hAnsi="Liberation Sans"/>
        </w:rPr>
        <w:t>The production mix includes nuclear, gas, coal, oil, wind, solar, hydro, and bioenergy signals used by forecasting and carbon accounting.</w:t>
      </w:r>
    </w:p>
    <w:p>
      <w:pPr>
        <w:pStyle w:val="Heading2"/>
        <w:keepNext/>
      </w:pPr>
      <w:r>
        <w:rPr>
          <w:rFonts w:ascii="Liberation Sans" w:hAnsi="Liberation Sans"/>
        </w:rPr>
        <w:t>Weather Data</w:t>
      </w:r>
    </w:p>
    <w:p>
      <w:pPr>
        <w:widowControl/>
      </w:pPr>
      <w:r>
        <w:rPr>
          <w:rFonts w:ascii="Liberation Sans" w:hAnsi="Liberation Sans"/>
        </w:rPr>
        <w:t>Historical and future weather come from Open-Meteo. Regional observations use representative French cities and are aggregated into compact national features for the current forecasting path. Weather matters because temperature affects demand, while wind speed and solar conditions affect renewable production.</w:t>
      </w:r>
    </w:p>
    <w:p>
      <w:pPr>
        <w:pStyle w:val="Heading2"/>
        <w:keepNext/>
      </w:pPr>
      <w:r>
        <w:rPr>
          <w:rFonts w:ascii="Liberation Sans" w:hAnsi="Liberation Sans"/>
        </w:rPr>
        <w:t>Price Data</w:t>
      </w:r>
    </w:p>
    <w:p>
      <w:pPr>
        <w:widowControl/>
      </w:pPr>
      <w:r>
        <w:rPr>
          <w:rFonts w:ascii="Liberation Sans" w:hAnsi="Liberation Sans"/>
        </w:rPr>
        <w:t>French day-ahead prices come primarily from Energy-Charts for bidding zone FR. ENTSO-E remains a fallback. Price is a supporting signal. The product does not claim that exact spot-price prediction is its main objective.</w:t>
      </w:r>
    </w:p>
    <w:p>
      <w:pPr>
        <w:pStyle w:val="Heading2"/>
        <w:keepNext/>
      </w:pPr>
      <w:r>
        <w:rPr>
          <w:rFonts w:ascii="Liberation Sans" w:hAnsi="Liberation Sans"/>
        </w:rPr>
        <w:t>Storage And Canonical Schema</w:t>
      </w:r>
    </w:p>
    <w:p>
      <w:pPr>
        <w:widowControl/>
      </w:pPr>
      <w:r>
        <w:rPr>
          <w:rFonts w:ascii="Liberation Sans" w:hAnsi="Liberation Sans"/>
        </w:rPr>
        <w:t>The ingestion layer converts source-specific payloads into stable internal contracts. This protects downstream code from API response changes. Supabase stores transformed, model-relevant rows. Raw payloads are not retained by default. Local processed CSV files support development and model training.</w:t>
      </w:r>
    </w:p>
    <w:p>
      <w:pPr>
        <w:pStyle w:val="Heading2"/>
        <w:keepNext/>
      </w:pPr>
      <w:r>
        <w:rPr>
          <w:rFonts w:ascii="Liberation Sans" w:hAnsi="Liberation Sans"/>
        </w:rPr>
        <w:t>Time Discipline</w:t>
      </w:r>
    </w:p>
    <w:p>
      <w:pPr>
        <w:widowControl/>
      </w:pPr>
      <w:r>
        <w:rPr>
          <w:rFonts w:ascii="Liberation Sans" w:hAnsi="Liberation Sans"/>
        </w:rPr>
        <w:t>All analytical timestamps are normalized to UTC. The dashboard may present user-friendly times, but model joins, candidate windows, history, and audits use timezone-aware UTC timestamps. This prevents daylight-saving changes from creating duplicate or missing local hours.</w:t>
      </w:r>
    </w:p>
    <w:p>
      <w:pPr>
        <w:pStyle w:val="Heading2"/>
        <w:keepNext/>
      </w:pPr>
      <w:r>
        <w:rPr>
          <w:rFonts w:ascii="Liberation Sans" w:hAnsi="Liberation Sans"/>
        </w:rPr>
        <w:t>Data Quality Checks</w:t>
      </w:r>
    </w:p>
    <w:p>
      <w:pPr>
        <w:widowControl/>
      </w:pPr>
      <w:r>
        <w:rPr>
          <w:rFonts w:ascii="Liberation Sans" w:hAnsi="Liberation Sans"/>
        </w:rPr>
        <w:t>The pipeline checks file existence, row counts, latest timestamps, duplicate timestamps, missing hours, required columns, nulls, negative production or consumption, dashboard presence, and recommendation count. Stale source data is a critical failure in normal production mode.</w:t>
      </w:r>
    </w:p>
    <w:p>
      <w:pPr>
        <w:widowControl/>
      </w:pPr>
      <w:r>
        <w:rPr>
          <w:rFonts w:ascii="Liberation Sans" w:hAnsi="Liberation Sans"/>
        </w:rPr>
        <w:t>Analogy: the model is a kitchen, but data contracts are the labelled ingredients. Even an excellent chef cannot recover if salt arrives in a sugar container or yesterday's food is presented as fresh.</w:t>
      </w:r>
    </w:p>
    <w:p>
      <w:pPr>
        <w:pStyle w:val="Heading1"/>
        <w:keepNext/>
      </w:pPr>
      <w:r>
        <w:rPr>
          <w:rFonts w:ascii="Liberation Sans" w:hAnsi="Liberation Sans"/>
        </w:rPr>
        <w:t>Chapter 4 Forecast Time Integrity</w:t>
      </w:r>
    </w:p>
    <w:p>
      <w:pPr>
        <w:pStyle w:val="Heading2"/>
        <w:keepNext/>
      </w:pPr>
      <w:r>
        <w:rPr>
          <w:rFonts w:ascii="Liberation Sans" w:hAnsi="Liberation Sans"/>
        </w:rPr>
        <w:t>The Leakage Problem</w:t>
      </w:r>
    </w:p>
    <w:p>
      <w:pPr>
        <w:widowControl/>
      </w:pPr>
      <w:r>
        <w:rPr>
          <w:rFonts w:ascii="Liberation Sans" w:hAnsi="Liberation Sans"/>
        </w:rPr>
        <w:t>A forecast must use only information available when the forecast is made. Using realized generation from the future would produce impressive offline accuracy and fail in production. This is called target leakage or look-ahead bias.</w:t>
      </w:r>
    </w:p>
    <w:p>
      <w:pPr>
        <w:widowControl/>
      </w:pPr>
      <w:r>
        <w:rPr>
          <w:rFonts w:ascii="Liberation Sans" w:hAnsi="Liberation Sans"/>
        </w:rPr>
        <w:t>The strict forecasting dataset therefore uses calendar information, lagged values, rolling summaries, and upstream forecasts. Contemporaneous realized electricity and weather columns are preserved for causal analysis and auditing, but strict forecasters do not use them unless they are replaced by values genuinely available at prediction time.</w:t>
      </w:r>
    </w:p>
    <w:p>
      <w:pPr>
        <w:pStyle w:val="Heading2"/>
        <w:keepNext/>
      </w:pPr>
      <w:r>
        <w:rPr>
          <w:rFonts w:ascii="Liberation Sans" w:hAnsi="Liberation Sans"/>
        </w:rPr>
        <w:t>Main Feature Families</w:t>
      </w:r>
    </w:p>
    <w:p>
      <w:pPr>
        <w:pStyle w:val="ListBullet"/>
        <w:widowControl/>
      </w:pPr>
      <w:r>
        <w:rPr>
          <w:rFonts w:ascii="Liberation Sans" w:hAnsi="Liberation Sans"/>
        </w:rPr>
        <w:t>Calendar features such as hour, day of week, month, weekend, peak period, morning ramp, evening peak, and cyclic encodings.</w:t>
      </w:r>
    </w:p>
    <w:p>
      <w:pPr>
        <w:pStyle w:val="ListBullet"/>
        <w:widowControl/>
      </w:pPr>
      <w:r>
        <w:rPr>
          <w:rFonts w:ascii="Liberation Sans" w:hAnsi="Liberation Sans"/>
        </w:rPr>
        <w:t>Price lags from one hour through two weeks, rolling means, rolling dispersion, and momentum features.</w:t>
      </w:r>
    </w:p>
    <w:p>
      <w:pPr>
        <w:pStyle w:val="ListBullet"/>
        <w:widowControl/>
      </w:pPr>
      <w:r>
        <w:rPr>
          <w:rFonts w:ascii="Liberation Sans" w:hAnsi="Liberation Sans"/>
        </w:rPr>
        <w:t>Consumption and production lags and rolling signals.</w:t>
      </w:r>
    </w:p>
    <w:p>
      <w:pPr>
        <w:pStyle w:val="ListBullet"/>
        <w:widowControl/>
      </w:pPr>
      <w:r>
        <w:rPr>
          <w:rFonts w:ascii="Liberation Sans" w:hAnsi="Liberation Sans"/>
        </w:rPr>
        <w:t>Source-specific generation lags for nuclear, fossil generation, wind, solar, hydro, and bioenergy.</w:t>
      </w:r>
    </w:p>
    <w:p>
      <w:pPr>
        <w:pStyle w:val="ListBullet"/>
        <w:widowControl/>
      </w:pPr>
      <w:r>
        <w:rPr>
          <w:rFonts w:ascii="Liberation Sans" w:hAnsi="Liberation Sans"/>
        </w:rPr>
        <w:t>Forecasted future consumption, total production, residual demand, and supply-demand gap.</w:t>
      </w:r>
    </w:p>
    <w:p>
      <w:pPr>
        <w:pStyle w:val="ListBullet"/>
        <w:widowControl/>
      </w:pPr>
      <w:r>
        <w:rPr>
          <w:rFonts w:ascii="Liberation Sans" w:hAnsi="Liberation Sans"/>
        </w:rPr>
        <w:t>Forecast weather for the operational future horizon.</w:t>
      </w:r>
    </w:p>
    <w:p>
      <w:pPr>
        <w:pStyle w:val="Heading2"/>
        <w:keepNext/>
      </w:pPr>
      <w:r>
        <w:rPr>
          <w:rFonts w:ascii="Liberation Sans" w:hAnsi="Liberation Sans"/>
        </w:rPr>
        <w:t>Why Cyclic Encoding Helps</w:t>
      </w:r>
    </w:p>
    <w:p>
      <w:pPr>
        <w:widowControl/>
      </w:pPr>
      <w:r>
        <w:rPr>
          <w:rFonts w:ascii="Liberation Sans" w:hAnsi="Liberation Sans"/>
        </w:rPr>
        <w:t>Hour 23 and hour 0 are numerically far apart but are adjacent on a clock. Sine and cosine encodings place hours around a circle, allowing models to learn smooth daily and yearly cycles.</w:t>
      </w:r>
    </w:p>
    <w:p>
      <w:pPr>
        <w:pStyle w:val="Heading2"/>
        <w:keepNext/>
      </w:pPr>
      <w:r>
        <w:rPr>
          <w:rFonts w:ascii="Liberation Sans" w:hAnsi="Liberation Sans"/>
        </w:rPr>
        <w:t>Upstream Forecasts</w:t>
      </w:r>
    </w:p>
    <w:p>
      <w:pPr>
        <w:widowControl/>
      </w:pPr>
      <w:r>
        <w:rPr>
          <w:rFonts w:ascii="Liberation Sans" w:hAnsi="Liberation Sans"/>
        </w:rPr>
        <w:t>The system forecasts consumption, total production, and source-level production before building carbon and recommendation signals. This is similar to planning a road trip. You first estimate traffic and fuel availability, then choose a route. A route recommendation built directly from unknown future traffic would be incomplete.</w:t>
      </w:r>
    </w:p>
    <w:p>
      <w:pPr>
        <w:pStyle w:val="Heading1"/>
        <w:keepNext/>
      </w:pPr>
      <w:r>
        <w:rPr>
          <w:rFonts w:ascii="Liberation Sans" w:hAnsi="Liberation Sans"/>
        </w:rPr>
        <w:t>Chapter 5 Forecasting Models And Validation</w:t>
      </w:r>
    </w:p>
    <w:p>
      <w:pPr>
        <w:pStyle w:val="Heading2"/>
        <w:keepNext/>
      </w:pPr>
      <w:r>
        <w:rPr>
          <w:rFonts w:ascii="Liberation Sans" w:hAnsi="Liberation Sans"/>
        </w:rPr>
        <w:t>Candidate Models</w:t>
      </w:r>
    </w:p>
    <w:p>
      <w:pPr>
        <w:widowControl/>
      </w:pPr>
      <w:r>
        <w:rPr>
          <w:rFonts w:ascii="Liberation Sans" w:hAnsi="Liberation Sans"/>
        </w:rPr>
        <w:t>The model set includes a 24-hour naive baseline, ridge regression, random forest, histogram gradient boosting, LightGBM, and XGBoost. The naive model is important because a complex model must beat a simple rule to justify its cost.</w:t>
      </w:r>
    </w:p>
    <w:p>
      <w:pPr>
        <w:pStyle w:val="Heading2"/>
        <w:keepNext/>
      </w:pPr>
      <w:r>
        <w:rPr>
          <w:rFonts w:ascii="Liberation Sans" w:hAnsi="Liberation Sans"/>
        </w:rPr>
        <w:t>Walk Forward Validation</w:t>
      </w:r>
    </w:p>
    <w:p>
      <w:pPr>
        <w:widowControl/>
      </w:pPr>
      <w:r>
        <w:rPr>
          <w:rFonts w:ascii="Liberation Sans" w:hAnsi="Liberation Sans"/>
        </w:rPr>
        <w:t>Random train-test splits are inappropriate for time series because they mix past and future. The platform uses expanding walk-forward windows. Each validation period is predicted using only earlier data. The latest test period is dynamically aligned to the newest data.</w:t>
      </w:r>
    </w:p>
    <w:p>
      <w:pPr>
        <w:widowControl/>
      </w:pPr>
      <w:r>
        <w:rPr>
          <w:rFonts w:ascii="Liberation Sans" w:hAnsi="Liberation Sans"/>
        </w:rPr>
        <w:t>Analogy: to test whether someone can forecast next week's weather, we repeatedly place them at historical dates and hide everything that happened afterward. Giving them random pages from the future would invalidate the test.</w:t>
      </w:r>
    </w:p>
    <w:p>
      <w:pPr>
        <w:pStyle w:val="Heading2"/>
        <w:keepNext/>
      </w:pPr>
      <w:r>
        <w:rPr>
          <w:rFonts w:ascii="Liberation Sans" w:hAnsi="Liberation Sans"/>
        </w:rPr>
        <w:t>Central Forecast Metrics</w:t>
      </w:r>
    </w:p>
    <w:p>
      <w:pPr>
        <w:widowControl/>
      </w:pPr>
      <w:r>
        <w:rPr>
          <w:rFonts w:ascii="Liberation Sans" w:hAnsi="Liberation Sans"/>
        </w:rPr>
        <w:t>MAE measures the average absolute forecast error in the target unit. RMSE penalizes large misses more heavily. sMAPE expresses error relative to magnitude and remains useful across differently scaled targets. Directional accuracy checks whether the price movement direction was predicted correctly.</w:t>
      </w:r>
    </w:p>
    <w:p>
      <w:pPr>
        <w:widowControl/>
      </w:pPr>
      <w:r>
        <w:rPr>
          <w:rFonts w:ascii="Liberation Sans" w:hAnsi="Liberation Sans"/>
        </w:rPr>
        <w:t>These metrics diagnose forecast quality, but they do not fully measure recommendation quality. A model may miss every value by a constant amount and still rank the hours correctly. Another model may have low MAE while swapping the best and second-best hours.</w:t>
      </w:r>
    </w:p>
    <w:p>
      <w:pPr>
        <w:pStyle w:val="Heading2"/>
        <w:keepNext/>
      </w:pPr>
      <w:r>
        <w:rPr>
          <w:rFonts w:ascii="Liberation Sans" w:hAnsi="Liberation Sans"/>
        </w:rPr>
        <w:t>Quantile Forecasts</w:t>
      </w:r>
    </w:p>
    <w:p>
      <w:pPr>
        <w:widowControl/>
      </w:pPr>
      <w:r>
        <w:rPr>
          <w:rFonts w:ascii="Liberation Sans" w:hAnsi="Liberation Sans"/>
        </w:rPr>
        <w:t xml:space="preserve">The production forecasting contract is probabilistic rather than point-only. For price, consumption, total production, and each generation source, the model emits three values: </w:t>
      </w:r>
      <w:r>
        <w:rPr>
          <w:rFonts w:ascii="Liberation Mono" w:hAnsi="Liberation Mono"/>
          <w:sz w:val="19"/>
        </w:rPr>
        <w:t>q10</w:t>
      </w:r>
      <w:r>
        <w:rPr>
          <w:rFonts w:ascii="Liberation Sans" w:hAnsi="Liberation Sans"/>
        </w:rPr>
        <w:t xml:space="preserve">, </w:t>
      </w:r>
      <w:r>
        <w:rPr>
          <w:rFonts w:ascii="Liberation Mono" w:hAnsi="Liberation Mono"/>
          <w:sz w:val="19"/>
        </w:rPr>
        <w:t>q50</w:t>
      </w:r>
      <w:r>
        <w:rPr>
          <w:rFonts w:ascii="Liberation Sans" w:hAnsi="Liberation Sans"/>
        </w:rPr>
        <w:t xml:space="preserve">, and </w:t>
      </w:r>
      <w:r>
        <w:rPr>
          <w:rFonts w:ascii="Liberation Mono" w:hAnsi="Liberation Mono"/>
          <w:sz w:val="19"/>
        </w:rPr>
        <w:t>q90</w:t>
      </w:r>
      <w:r>
        <w:rPr>
          <w:rFonts w:ascii="Liberation Sans" w:hAnsi="Liberation Sans"/>
        </w:rPr>
        <w:t xml:space="preserve">. The median </w:t>
      </w:r>
      <w:r>
        <w:rPr>
          <w:rFonts w:ascii="Liberation Mono" w:hAnsi="Liberation Mono"/>
          <w:sz w:val="19"/>
        </w:rPr>
        <w:t>q50</w:t>
      </w:r>
      <w:r>
        <w:rPr>
          <w:rFonts w:ascii="Liberation Sans" w:hAnsi="Liberation Sans"/>
        </w:rPr>
        <w:t xml:space="preserve"> is the central forecast used for ranking. The range from </w:t>
      </w:r>
      <w:r>
        <w:rPr>
          <w:rFonts w:ascii="Liberation Mono" w:hAnsi="Liberation Mono"/>
          <w:sz w:val="19"/>
        </w:rPr>
        <w:t>q10</w:t>
      </w:r>
      <w:r>
        <w:rPr>
          <w:rFonts w:ascii="Liberation Sans" w:hAnsi="Liberation Sans"/>
        </w:rPr>
        <w:t xml:space="preserve"> to </w:t>
      </w:r>
      <w:r>
        <w:rPr>
          <w:rFonts w:ascii="Liberation Mono" w:hAnsi="Liberation Mono"/>
          <w:sz w:val="19"/>
        </w:rPr>
        <w:t>q90</w:t>
      </w:r>
      <w:r>
        <w:rPr>
          <w:rFonts w:ascii="Liberation Sans" w:hAnsi="Liberation Sans"/>
        </w:rPr>
        <w:t xml:space="preserve"> is a nominal 80 percent predictive interval.</w:t>
      </w:r>
    </w:p>
    <w:p>
      <w:pPr>
        <w:widowControl/>
      </w:pPr>
      <w:r>
        <w:rPr>
          <w:rFonts w:ascii="Liberation Sans" w:hAnsi="Liberation Sans"/>
        </w:rPr>
        <w:t>An analogy is a travel-time estimate. Saying a trip will take 40 minutes is a point forecast. Saying there is a central estimate of 40 minutes, with an 80 percent interval from 32 to 55 minutes, is more useful for deciding whether a tight appointment is safe.</w:t>
      </w:r>
    </w:p>
    <w:p>
      <w:pPr>
        <w:widowControl/>
      </w:pPr>
      <w:r>
        <w:rPr>
          <w:rFonts w:ascii="Liberation Sans" w:hAnsi="Liberation Sans"/>
        </w:rPr>
        <w:t>The current implementation calibrates quantiles from residuals produced by earlier walk-forward predictions. At each historical prediction time, only errors already observed are available for calibration. Persisted production models use out-of-sample walk-forward residuals. This avoids using the outcome of the row being evaluated to construct its own interval.</w:t>
      </w:r>
    </w:p>
    <w:p>
      <w:pPr>
        <w:widowControl/>
      </w:pPr>
      <w:r>
        <w:rPr>
          <w:rFonts w:ascii="Liberation Sans" w:hAnsi="Liberation Sans"/>
        </w:rPr>
        <w:t>Quantile forecasts do not automatically guarantee uncertainty quality. The system therefore reports pinball loss for each quantile, mean pinball loss, observed 80 percent coverage, coverage error relative to 80 percent, mean and median interval width, normalized interval width, below-interval and above-interval rates, and the Winkler interval score. Pinball loss rewards accurate quantile placement. Coverage detects intervals that are too narrow. Width detects intervals that are technically safe but unhelpfully broad. The Winkler score penalizes both broad intervals and observations that fall outside them.</w:t>
      </w:r>
    </w:p>
    <w:p>
      <w:pPr>
        <w:pStyle w:val="Heading2"/>
        <w:keepNext/>
      </w:pPr>
      <w:r>
        <w:rPr>
          <w:rFonts w:ascii="Liberation Sans" w:hAnsi="Liberation Sans"/>
        </w:rPr>
        <w:t>Ranking Metrics</w:t>
      </w:r>
    </w:p>
    <w:p>
      <w:pPr>
        <w:widowControl/>
      </w:pPr>
      <w:r>
        <w:rPr>
          <w:rFonts w:ascii="Liberation Sans" w:hAnsi="Liberation Sans"/>
        </w:rPr>
        <w:t>Top-1 hit rate asks whether the first recommendation was truly best. Top-3 or top-5 capture asks whether the actual best hour appeared in the recommended shortlist. Pairwise ranking loss measures how often the model orders two candidates incorrectly. Spearman correlation measures overall rank agreement.</w:t>
      </w:r>
    </w:p>
    <w:p>
      <w:pPr>
        <w:widowControl/>
      </w:pPr>
      <w:r>
        <w:rPr>
          <w:rFonts w:ascii="Liberation Sans" w:hAnsi="Liberation Sans"/>
        </w:rPr>
        <w:t>These metrics align with the product question. The user needs a good hour, not merely a numerically accurate chart.</w:t>
      </w:r>
    </w:p>
    <w:p>
      <w:pPr>
        <w:pStyle w:val="Heading1"/>
        <w:keepNext/>
      </w:pPr>
      <w:r>
        <w:rPr>
          <w:rFonts w:ascii="Liberation Sans" w:hAnsi="Liberation Sans"/>
        </w:rPr>
        <w:t>Chapter 6 Carbon Accounting</w:t>
      </w:r>
    </w:p>
    <w:p>
      <w:pPr>
        <w:pStyle w:val="Heading2"/>
        <w:keepNext/>
      </w:pPr>
      <w:r>
        <w:rPr>
          <w:rFonts w:ascii="Liberation Sans" w:hAnsi="Liberation Sans"/>
        </w:rPr>
        <w:t>Average Carbon Intensity</w:t>
      </w:r>
    </w:p>
    <w:p>
      <w:pPr>
        <w:widowControl/>
      </w:pPr>
      <w:r>
        <w:rPr>
          <w:rFonts w:ascii="Liberation Sans" w:hAnsi="Liberation Sans"/>
        </w:rPr>
        <w:t>For each source, generation is multiplied by its configured emissions factor. Total emissions are then divided by total generation:</w:t>
      </w:r>
    </w:p>
    <w:p>
      <w:pPr>
        <w:spacing w:before="80" w:after="140" w:line="240" w:lineRule="auto"/>
        <w:ind w:left="403" w:right="403"/>
        <w:shd w:fill="F3F5F4"/>
      </w:pPr>
      <w:r>
        <w:rPr>
          <w:rFonts w:ascii="Liberation Mono" w:hAnsi="Liberation Mono"/>
          <w:sz w:val="17"/>
        </w:rPr>
        <w:t>total emissions kg CO2e</w:t>
        <w:br/>
        <w:t xml:space="preserve">  = sum of source generation MWh multiplied by source factor kg CO2e per MWh</w:t>
        <w:br/>
        <w:br/>
        <w:t>carbon intensity g CO2e per kWh</w:t>
        <w:br/>
        <w:t xml:space="preserve">  = total emissions kg CO2e divided by total generation MWh</w:t>
      </w:r>
    </w:p>
    <w:p>
      <w:pPr>
        <w:widowControl/>
      </w:pPr>
      <w:r>
        <w:rPr>
          <w:rFonts w:ascii="Liberation Sans" w:hAnsi="Liberation Sans"/>
        </w:rPr>
        <w:t>The units are numerically equivalent because one kg per MWh equals one g per kWh.</w:t>
      </w:r>
    </w:p>
    <w:p>
      <w:pPr>
        <w:pStyle w:val="Heading2"/>
        <w:keepNext/>
      </w:pPr>
      <w:r>
        <w:rPr>
          <w:rFonts w:ascii="Liberation Sans" w:hAnsi="Liberation Sans"/>
        </w:rPr>
        <w:t>Direct And Lifecycle Boundaries</w:t>
      </w:r>
    </w:p>
    <w:p>
      <w:pPr>
        <w:widowControl/>
      </w:pPr>
      <w:r>
        <w:rPr>
          <w:rFonts w:ascii="Liberation Sans" w:hAnsi="Liberation Sans"/>
        </w:rPr>
        <w:t>Direct operational emissions represent emissions produced during electricity generation. Lifecycle factors additionally include upstream construction, fuel extraction, transport, and related processes. The primary product and causal estimand use direct operational emissions. Lifecycle accounting may be reported separately but must not be mixed silently into the same result.</w:t>
      </w:r>
    </w:p>
    <w:p>
      <w:pPr>
        <w:pStyle w:val="Heading2"/>
        <w:keepNext/>
      </w:pPr>
      <w:r>
        <w:rPr>
          <w:rFonts w:ascii="Liberation Sans" w:hAnsi="Liberation Sans"/>
        </w:rPr>
        <w:t>Why Configuration Matters</w:t>
      </w:r>
    </w:p>
    <w:p>
      <w:pPr>
        <w:widowControl/>
      </w:pPr>
      <w:r>
        <w:rPr>
          <w:rFonts w:ascii="Liberation Sans" w:hAnsi="Liberation Sans"/>
        </w:rPr>
        <w:t>Emission factors live in configuration rather than calculation code. This makes the accounting boundary explicit and reviewable. It also prevents a hidden code change from silently redefining carbon performance.</w:t>
      </w:r>
    </w:p>
    <w:p>
      <w:pPr>
        <w:pStyle w:val="Heading1"/>
        <w:keepNext/>
      </w:pPr>
      <w:r>
        <w:rPr>
          <w:rFonts w:ascii="Liberation Sans" w:hAnsi="Liberation Sans"/>
        </w:rPr>
        <w:t>Chapter 7 Recommendation Ranking</w:t>
      </w:r>
    </w:p>
    <w:p>
      <w:pPr>
        <w:pStyle w:val="Heading2"/>
        <w:keepNext/>
      </w:pPr>
      <w:r>
        <w:rPr>
          <w:rFonts w:ascii="Liberation Sans" w:hAnsi="Liberation Sans"/>
        </w:rPr>
        <w:t>Candidate Window Construction</w:t>
      </w:r>
    </w:p>
    <w:p>
      <w:pPr>
        <w:widowControl/>
      </w:pPr>
      <w:r>
        <w:rPr>
          <w:rFonts w:ascii="Liberation Sans" w:hAnsi="Liberation Sans"/>
        </w:rPr>
        <w:t>The system converts hourly signals into feasible workload windows. For a three-hour workload, a candidate is valid only if three consecutive hourly rows exist. Earliest start, latest end, maximum delay, and duration constraints remove infeasible options before ranking.</w:t>
      </w:r>
    </w:p>
    <w:p>
      <w:pPr>
        <w:pStyle w:val="Heading2"/>
        <w:keepNext/>
      </w:pPr>
      <w:r>
        <w:rPr>
          <w:rFonts w:ascii="Liberation Sans" w:hAnsi="Liberation Sans"/>
        </w:rPr>
        <w:t>Rank Normalization</w:t>
      </w:r>
    </w:p>
    <w:p>
      <w:pPr>
        <w:widowControl/>
      </w:pPr>
      <w:r>
        <w:rPr>
          <w:rFonts w:ascii="Liberation Sans" w:hAnsi="Liberation Sans"/>
        </w:rPr>
        <w:t>Price and carbon have different units and scales. The platform ranks each candidate within its decision group, then normalizes the ranks to the interval from zero to one. The best rank becomes zero and the worst approaches one.</w:t>
      </w:r>
    </w:p>
    <w:p>
      <w:pPr>
        <w:widowControl/>
      </w:pPr>
      <w:r>
        <w:rPr>
          <w:rFonts w:ascii="Liberation Sans" w:hAnsi="Liberation Sans"/>
        </w:rPr>
        <w:t>The base predicted score is:</w:t>
      </w:r>
    </w:p>
    <w:p>
      <w:pPr>
        <w:spacing w:before="80" w:after="140" w:line="240" w:lineRule="auto"/>
        <w:ind w:left="403" w:right="403"/>
        <w:shd w:fill="F3F5F4"/>
      </w:pPr>
      <w:r>
        <w:rPr>
          <w:rFonts w:ascii="Liberation Mono" w:hAnsi="Liberation Mono"/>
          <w:sz w:val="17"/>
        </w:rPr>
        <w:t>base score</w:t>
        <w:br/>
        <w:t xml:space="preserve">  = price weight multiplied by normalized predicted price rank</w:t>
        <w:br/>
        <w:t xml:space="preserve">  + carbon weight multiplied by normalized predicted carbon rank</w:t>
      </w:r>
    </w:p>
    <w:p>
      <w:pPr>
        <w:widowControl/>
      </w:pPr>
      <w:r>
        <w:rPr>
          <w:rFonts w:ascii="Liberation Sans" w:hAnsi="Liberation Sans"/>
        </w:rPr>
        <w:t>Lower is better. Rank normalization prevents a large numerical price scale from overwhelming carbon merely because EUR per MWh and g CO2e per kWh use different units.</w:t>
      </w:r>
    </w:p>
    <w:p>
      <w:pPr>
        <w:pStyle w:val="Heading2"/>
        <w:keepNext/>
      </w:pPr>
      <w:r>
        <w:rPr>
          <w:rFonts w:ascii="Liberation Sans" w:hAnsi="Liberation Sans"/>
        </w:rPr>
        <w:t>Scenario Presets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69"/>
        <w:gridCol w:w="2469"/>
        <w:gridCol w:w="2469"/>
        <w:gridCol w:w="2469"/>
      </w:tblGrid>
      <w:tr>
        <w:trPr>
          <w:tblHeader w:val="true"/>
          <w:cantSplit/>
        </w:trPr>
        <w:tc>
          <w:tcPr>
            <w:tcW w:type="dxa" w:w="2469"/>
            <w:vAlign w:val="center"/>
            <w:shd w:fill="315A4B"/>
            <w:tcMar>
              <w:top w:w="90" w:type="dxa"/>
              <w:start w:w="110" w:type="dxa"/>
              <w:bottom w:w="90" w:type="dxa"/>
              <w:end w:w="110" w:type="dxa"/>
            </w:tcMar>
          </w:tcPr>
          <w:p>
            <w:pPr>
              <w:jc w:val="center"/>
            </w:pPr>
            <w:r>
              <w:rPr>
                <w:rFonts w:ascii="Liberation Sans" w:hAnsi="Liberation Sans"/>
                <w:b/>
                <w:color w:val="FFFFFF"/>
                <w:sz w:val="18"/>
              </w:rPr>
              <w:t>Scenario</w:t>
            </w:r>
          </w:p>
        </w:tc>
        <w:tc>
          <w:tcPr>
            <w:tcW w:type="dxa" w:w="2469"/>
            <w:vAlign w:val="center"/>
            <w:shd w:fill="315A4B"/>
            <w:tcMar>
              <w:top w:w="90" w:type="dxa"/>
              <w:start w:w="110" w:type="dxa"/>
              <w:bottom w:w="90" w:type="dxa"/>
              <w:end w:w="110" w:type="dxa"/>
            </w:tcMar>
          </w:tcPr>
          <w:p>
            <w:pPr>
              <w:jc w:val="center"/>
            </w:pPr>
            <w:r>
              <w:rPr>
                <w:rFonts w:ascii="Liberation Sans" w:hAnsi="Liberation Sans"/>
                <w:b/>
                <w:color w:val="FFFFFF"/>
                <w:sz w:val="18"/>
              </w:rPr>
              <w:t>Price weight</w:t>
            </w:r>
          </w:p>
        </w:tc>
        <w:tc>
          <w:tcPr>
            <w:tcW w:type="dxa" w:w="2469"/>
            <w:vAlign w:val="center"/>
            <w:shd w:fill="315A4B"/>
            <w:tcMar>
              <w:top w:w="90" w:type="dxa"/>
              <w:start w:w="110" w:type="dxa"/>
              <w:bottom w:w="90" w:type="dxa"/>
              <w:end w:w="110" w:type="dxa"/>
            </w:tcMar>
          </w:tcPr>
          <w:p>
            <w:pPr>
              <w:jc w:val="center"/>
            </w:pPr>
            <w:r>
              <w:rPr>
                <w:rFonts w:ascii="Liberation Sans" w:hAnsi="Liberation Sans"/>
                <w:b/>
                <w:color w:val="FFFFFF"/>
                <w:sz w:val="18"/>
              </w:rPr>
              <w:t>Carbon weight</w:t>
            </w:r>
          </w:p>
        </w:tc>
        <w:tc>
          <w:tcPr>
            <w:tcW w:type="dxa" w:w="2469"/>
            <w:vAlign w:val="center"/>
            <w:shd w:fill="315A4B"/>
            <w:tcMar>
              <w:top w:w="90" w:type="dxa"/>
              <w:start w:w="110" w:type="dxa"/>
              <w:bottom w:w="90" w:type="dxa"/>
              <w:end w:w="110" w:type="dxa"/>
            </w:tcMar>
          </w:tcPr>
          <w:p>
            <w:pPr>
              <w:jc w:val="center"/>
            </w:pPr>
            <w:r>
              <w:rPr>
                <w:rFonts w:ascii="Liberation Sans" w:hAnsi="Liberation Sans"/>
                <w:b/>
                <w:color w:val="FFFFFF"/>
                <w:sz w:val="18"/>
              </w:rPr>
              <w:t>Business interpretation</w:t>
            </w:r>
          </w:p>
        </w:tc>
      </w:tr>
      <w:tr>
        <w:trPr>
          <w:cantSplit/>
        </w:trPr>
        <w:tc>
          <w:tcPr>
            <w:tcW w:type="dxa" w:w="2469"/>
            <w:vAlign w:val="center"/>
            <w:tcMar>
              <w:top w:w="90" w:type="dxa"/>
              <w:start w:w="110" w:type="dxa"/>
              <w:bottom w:w="90" w:type="dxa"/>
              <w:end w:w="110" w:type="dxa"/>
            </w:tcMar>
          </w:tcPr>
          <w:p>
            <w:pPr>
              <w:jc w:val="left"/>
            </w:pPr>
            <w:r>
              <w:rPr>
                <w:rFonts w:ascii="Liberation Sans" w:hAnsi="Liberation Sans"/>
                <w:sz w:val="17"/>
              </w:rPr>
              <w:t>Emissions reduction</w:t>
            </w:r>
          </w:p>
        </w:tc>
        <w:tc>
          <w:tcPr>
            <w:tcW w:type="dxa" w:w="2469"/>
            <w:vAlign w:val="center"/>
            <w:tcMar>
              <w:top w:w="90" w:type="dxa"/>
              <w:start w:w="110" w:type="dxa"/>
              <w:bottom w:w="90" w:type="dxa"/>
              <w:end w:w="110" w:type="dxa"/>
            </w:tcMar>
          </w:tcPr>
          <w:p>
            <w:pPr>
              <w:jc w:val="center"/>
            </w:pPr>
            <w:r>
              <w:rPr>
                <w:rFonts w:ascii="Liberation Sans" w:hAnsi="Liberation Sans"/>
                <w:sz w:val="17"/>
              </w:rPr>
              <w:t>0.2</w:t>
            </w:r>
          </w:p>
        </w:tc>
        <w:tc>
          <w:tcPr>
            <w:tcW w:type="dxa" w:w="2469"/>
            <w:vAlign w:val="center"/>
            <w:tcMar>
              <w:top w:w="90" w:type="dxa"/>
              <w:start w:w="110" w:type="dxa"/>
              <w:bottom w:w="90" w:type="dxa"/>
              <w:end w:w="110" w:type="dxa"/>
            </w:tcMar>
          </w:tcPr>
          <w:p>
            <w:pPr>
              <w:jc w:val="center"/>
            </w:pPr>
            <w:r>
              <w:rPr>
                <w:rFonts w:ascii="Liberation Sans" w:hAnsi="Liberation Sans"/>
                <w:sz w:val="17"/>
              </w:rPr>
              <w:t>0.8</w:t>
            </w:r>
          </w:p>
        </w:tc>
        <w:tc>
          <w:tcPr>
            <w:tcW w:type="dxa" w:w="2469"/>
            <w:vAlign w:val="center"/>
            <w:tcMar>
              <w:top w:w="90" w:type="dxa"/>
              <w:start w:w="110" w:type="dxa"/>
              <w:bottom w:w="90" w:type="dxa"/>
              <w:end w:w="110" w:type="dxa"/>
            </w:tcMar>
          </w:tcPr>
          <w:p>
            <w:pPr>
              <w:jc w:val="left"/>
            </w:pPr>
            <w:r>
              <w:rPr>
                <w:rFonts w:ascii="Liberation Sans" w:hAnsi="Liberation Sans"/>
                <w:sz w:val="17"/>
              </w:rPr>
              <w:t>Prioritize cleaner hours while retaining a limited cost signal</w:t>
            </w:r>
          </w:p>
        </w:tc>
      </w:tr>
      <w:tr>
        <w:trPr>
          <w:cantSplit/>
        </w:trPr>
        <w:tc>
          <w:tcPr>
            <w:tcW w:type="dxa" w:w="2469"/>
            <w:vAlign w:val="center"/>
            <w:tcMar>
              <w:top w:w="90" w:type="dxa"/>
              <w:start w:w="110" w:type="dxa"/>
              <w:bottom w:w="90" w:type="dxa"/>
              <w:end w:w="110" w:type="dxa"/>
            </w:tcMar>
            <w:shd w:fill="EDF4F1"/>
          </w:tcPr>
          <w:p>
            <w:pPr>
              <w:jc w:val="left"/>
            </w:pPr>
            <w:r>
              <w:rPr>
                <w:rFonts w:ascii="Liberation Sans" w:hAnsi="Liberation Sans"/>
                <w:sz w:val="17"/>
              </w:rPr>
              <w:t>Balanced operations</w:t>
            </w:r>
          </w:p>
        </w:tc>
        <w:tc>
          <w:tcPr>
            <w:tcW w:type="dxa" w:w="2469"/>
            <w:vAlign w:val="center"/>
            <w:tcMar>
              <w:top w:w="90" w:type="dxa"/>
              <w:start w:w="110" w:type="dxa"/>
              <w:bottom w:w="90" w:type="dxa"/>
              <w:end w:w="110" w:type="dxa"/>
            </w:tcMar>
            <w:shd w:fill="EDF4F1"/>
          </w:tcPr>
          <w:p>
            <w:pPr>
              <w:jc w:val="center"/>
            </w:pPr>
            <w:r>
              <w:rPr>
                <w:rFonts w:ascii="Liberation Sans" w:hAnsi="Liberation Sans"/>
                <w:sz w:val="17"/>
              </w:rPr>
              <w:t>0.5</w:t>
            </w:r>
          </w:p>
        </w:tc>
        <w:tc>
          <w:tcPr>
            <w:tcW w:type="dxa" w:w="2469"/>
            <w:vAlign w:val="center"/>
            <w:tcMar>
              <w:top w:w="90" w:type="dxa"/>
              <w:start w:w="110" w:type="dxa"/>
              <w:bottom w:w="90" w:type="dxa"/>
              <w:end w:w="110" w:type="dxa"/>
            </w:tcMar>
            <w:shd w:fill="EDF4F1"/>
          </w:tcPr>
          <w:p>
            <w:pPr>
              <w:jc w:val="center"/>
            </w:pPr>
            <w:r>
              <w:rPr>
                <w:rFonts w:ascii="Liberation Sans" w:hAnsi="Liberation Sans"/>
                <w:sz w:val="17"/>
              </w:rPr>
              <w:t>0.5</w:t>
            </w:r>
          </w:p>
        </w:tc>
        <w:tc>
          <w:tcPr>
            <w:tcW w:type="dxa" w:w="2469"/>
            <w:vAlign w:val="center"/>
            <w:tcMar>
              <w:top w:w="90" w:type="dxa"/>
              <w:start w:w="110" w:type="dxa"/>
              <w:bottom w:w="90" w:type="dxa"/>
              <w:end w:w="110" w:type="dxa"/>
            </w:tcMar>
            <w:shd w:fill="EDF4F1"/>
          </w:tcPr>
          <w:p>
            <w:pPr>
              <w:jc w:val="left"/>
            </w:pPr>
            <w:r>
              <w:rPr>
                <w:rFonts w:ascii="Liberation Sans" w:hAnsi="Liberation Sans"/>
                <w:sz w:val="17"/>
              </w:rPr>
              <w:t>Treat cost and carbon rank equally</w:t>
            </w:r>
          </w:p>
        </w:tc>
      </w:tr>
      <w:tr>
        <w:trPr>
          <w:cantSplit/>
        </w:trPr>
        <w:tc>
          <w:tcPr>
            <w:tcW w:type="dxa" w:w="2469"/>
            <w:vAlign w:val="center"/>
            <w:tcMar>
              <w:top w:w="90" w:type="dxa"/>
              <w:start w:w="110" w:type="dxa"/>
              <w:bottom w:w="90" w:type="dxa"/>
              <w:end w:w="110" w:type="dxa"/>
            </w:tcMar>
          </w:tcPr>
          <w:p>
            <w:pPr>
              <w:jc w:val="left"/>
            </w:pPr>
            <w:r>
              <w:rPr>
                <w:rFonts w:ascii="Liberation Sans" w:hAnsi="Liberation Sans"/>
                <w:sz w:val="17"/>
              </w:rPr>
              <w:t>Budget control</w:t>
            </w:r>
          </w:p>
        </w:tc>
        <w:tc>
          <w:tcPr>
            <w:tcW w:type="dxa" w:w="2469"/>
            <w:vAlign w:val="center"/>
            <w:tcMar>
              <w:top w:w="90" w:type="dxa"/>
              <w:start w:w="110" w:type="dxa"/>
              <w:bottom w:w="90" w:type="dxa"/>
              <w:end w:w="110" w:type="dxa"/>
            </w:tcMar>
          </w:tcPr>
          <w:p>
            <w:pPr>
              <w:jc w:val="center"/>
            </w:pPr>
            <w:r>
              <w:rPr>
                <w:rFonts w:ascii="Liberation Sans" w:hAnsi="Liberation Sans"/>
                <w:sz w:val="17"/>
              </w:rPr>
              <w:t>0.7</w:t>
            </w:r>
          </w:p>
        </w:tc>
        <w:tc>
          <w:tcPr>
            <w:tcW w:type="dxa" w:w="2469"/>
            <w:vAlign w:val="center"/>
            <w:tcMar>
              <w:top w:w="90" w:type="dxa"/>
              <w:start w:w="110" w:type="dxa"/>
              <w:bottom w:w="90" w:type="dxa"/>
              <w:end w:w="110" w:type="dxa"/>
            </w:tcMar>
          </w:tcPr>
          <w:p>
            <w:pPr>
              <w:jc w:val="center"/>
            </w:pPr>
            <w:r>
              <w:rPr>
                <w:rFonts w:ascii="Liberation Sans" w:hAnsi="Liberation Sans"/>
                <w:sz w:val="17"/>
              </w:rPr>
              <w:t>0.3</w:t>
            </w:r>
          </w:p>
        </w:tc>
        <w:tc>
          <w:tcPr>
            <w:tcW w:type="dxa" w:w="2469"/>
            <w:vAlign w:val="center"/>
            <w:tcMar>
              <w:top w:w="90" w:type="dxa"/>
              <w:start w:w="110" w:type="dxa"/>
              <w:bottom w:w="90" w:type="dxa"/>
              <w:end w:w="110" w:type="dxa"/>
            </w:tcMar>
          </w:tcPr>
          <w:p>
            <w:pPr>
              <w:jc w:val="left"/>
            </w:pPr>
            <w:r>
              <w:rPr>
                <w:rFonts w:ascii="Liberation Sans" w:hAnsi="Liberation Sans"/>
                <w:sz w:val="17"/>
              </w:rPr>
              <w:t>Prioritize cost while retaining a carbon preference</w:t>
            </w:r>
          </w:p>
        </w:tc>
      </w:tr>
    </w:tbl>
    <w:p>
      <w:pPr>
        <w:spacing w:after="20"/>
      </w:pPr>
    </w:p>
    <w:p>
      <w:pPr>
        <w:widowControl/>
      </w:pPr>
      <w:r>
        <w:rPr>
          <w:rFonts w:ascii="Liberation Sans" w:hAnsi="Liberation Sans"/>
        </w:rPr>
        <w:t>The scenario selector reranks the same feasible candidates. It does not retrain the forecasting models.</w:t>
      </w:r>
    </w:p>
    <w:p>
      <w:pPr>
        <w:pStyle w:val="Heading2"/>
        <w:keepNext/>
      </w:pPr>
      <w:r>
        <w:rPr>
          <w:rFonts w:ascii="Liberation Sans" w:hAnsi="Liberation Sans"/>
        </w:rPr>
        <w:t>Ranking Model Overlay</w:t>
      </w:r>
    </w:p>
    <w:p>
      <w:pPr>
        <w:widowControl/>
      </w:pPr>
      <w:r>
        <w:rPr>
          <w:rFonts w:ascii="Liberation Sans" w:hAnsi="Liberation Sans"/>
        </w:rPr>
        <w:t>A ranking-specific classifier can estimate the probability that a candidate belongs in the actual top five. The learned overlay is accepted only when out-of-window combined regret and carbon regret do not deteriorate relative to the transparent baseline score. Day-level diagnostics show where it helped and where it regressed.</w:t>
      </w:r>
    </w:p>
    <w:p>
      <w:pPr>
        <w:widowControl/>
      </w:pPr>
      <w:r>
        <w:rPr>
          <w:rFonts w:ascii="Liberation Sans" w:hAnsi="Liberation Sans"/>
        </w:rPr>
        <w:t>This acceptance rule reflects a general principle: added model complexity must improve the decision, not only an intermediate prediction.</w:t>
      </w:r>
    </w:p>
    <w:p>
      <w:pPr>
        <w:pStyle w:val="Heading1"/>
        <w:keepNext/>
      </w:pPr>
      <w:r>
        <w:rPr>
          <w:rFonts w:ascii="Liberation Sans" w:hAnsi="Liberation Sans"/>
        </w:rPr>
        <w:t>Chapter 8 Uncertainty And Confidence</w:t>
      </w:r>
    </w:p>
    <w:p>
      <w:pPr>
        <w:pStyle w:val="Heading2"/>
        <w:keepNext/>
      </w:pPr>
      <w:r>
        <w:rPr>
          <w:rFonts w:ascii="Liberation Sans" w:hAnsi="Liberation Sans"/>
        </w:rPr>
        <w:t>Decision Uncertainty</w:t>
      </w:r>
    </w:p>
    <w:p>
      <w:pPr>
        <w:widowControl/>
      </w:pPr>
      <w:r>
        <w:rPr>
          <w:rFonts w:ascii="Liberation Sans" w:hAnsi="Liberation Sans"/>
        </w:rPr>
        <w:t>Candidates are uncertain when predicted price or carbon values are too close to neighbouring candidates. Small score margins mean that modest forecast errors could reverse the order. The system converts this separation into an uncertainty score.</w:t>
      </w:r>
    </w:p>
    <w:p>
      <w:pPr>
        <w:widowControl/>
      </w:pPr>
      <w:r>
        <w:rPr>
          <w:rFonts w:ascii="Liberation Sans" w:hAnsi="Liberation Sans"/>
        </w:rPr>
        <w:t>Candidates above the uncertainty threshold receive a ranking penalty. If no low-uncertainty candidate exists, the output explicitly says that no low-risk recommendation is available. The system does not hide this condition behind a normal-looking rank.</w:t>
      </w:r>
    </w:p>
    <w:p>
      <w:pPr>
        <w:widowControl/>
      </w:pPr>
      <w:r>
        <w:rPr>
          <w:rFonts w:ascii="Liberation Sans" w:hAnsi="Liberation Sans"/>
        </w:rPr>
        <w:t>Analogy: if two runners finish within a camera frame, announcing the winner with the same confidence as a ten-second victory would be misleading.</w:t>
      </w:r>
    </w:p>
    <w:p>
      <w:pPr>
        <w:pStyle w:val="Heading2"/>
        <w:keepNext/>
      </w:pPr>
      <w:r>
        <w:rPr>
          <w:rFonts w:ascii="Liberation Sans" w:hAnsi="Liberation Sans"/>
        </w:rPr>
        <w:t>Prediction Intervals</w:t>
      </w:r>
    </w:p>
    <w:p>
      <w:pPr>
        <w:widowControl/>
      </w:pPr>
      <w:r>
        <w:rPr>
          <w:rFonts w:ascii="Liberation Sans" w:hAnsi="Liberation Sans"/>
        </w:rPr>
        <w:t xml:space="preserve">Each operational candidate carries its own price and carbon </w:t>
      </w:r>
      <w:r>
        <w:rPr>
          <w:rFonts w:ascii="Liberation Mono" w:hAnsi="Liberation Mono"/>
          <w:sz w:val="19"/>
        </w:rPr>
        <w:t>q10-q90</w:t>
      </w:r>
      <w:r>
        <w:rPr>
          <w:rFonts w:ascii="Liberation Sans" w:hAnsi="Liberation Sans"/>
        </w:rPr>
        <w:t xml:space="preserve"> interval. Source-generation quantiles are propagated through direct-operational emission factors to produce carbon-intensity quantiles. Ranking uses the median, while the interval width contributes to the uncertainty score and can trigger the high-uncertainty guard. A model-wide historical residual width remains only as a compatibility fallback for older artifacts.</w:t>
      </w:r>
    </w:p>
    <w:p>
      <w:pPr>
        <w:widowControl/>
      </w:pPr>
      <w:r>
        <w:rPr>
          <w:rFonts w:ascii="Liberation Sans" w:hAnsi="Liberation Sans"/>
        </w:rPr>
        <w:t>An 80 percent interval should contain the settled actual value about 80 percent of the time over a sufficiently large, representative sample. Coverage much below 80 percent indicates overconfidence. Coverage far above 80 percent can indicate intervals that are too wide to support useful decisions. Coverage should also be inspected by lead hour, season, and grid regime because good aggregate calibration can hide weak conditional calibration.</w:t>
      </w:r>
    </w:p>
    <w:p>
      <w:pPr>
        <w:pStyle w:val="Heading2"/>
        <w:keepNext/>
      </w:pPr>
      <w:r>
        <w:rPr>
          <w:rFonts w:ascii="Liberation Sans" w:hAnsi="Liberation Sans"/>
        </w:rPr>
        <w:t>Heuristic Confidence</w:t>
      </w:r>
    </w:p>
    <w:p>
      <w:pPr>
        <w:widowControl/>
      </w:pPr>
      <w:r>
        <w:rPr>
          <w:rFonts w:ascii="Liberation Sans" w:hAnsi="Liberation Sans"/>
        </w:rPr>
        <w:t>Initial confidence combines recommendation rank, score margin, and cross-model agreement. A first-ranked candidate receives a stronger rank component. A candidate well separated from alternatives receives a stronger margin component. An hour selected by several models receives a stronger agreement component.</w:t>
      </w:r>
    </w:p>
    <w:p>
      <w:pPr>
        <w:pStyle w:val="Heading2"/>
        <w:keepNext/>
      </w:pPr>
      <w:r>
        <w:rPr>
          <w:rFonts w:ascii="Liberation Sans" w:hAnsi="Liberation Sans"/>
        </w:rPr>
        <w:t>Empirical Calibration</w:t>
      </w:r>
    </w:p>
    <w:p>
      <w:pPr>
        <w:widowControl/>
      </w:pPr>
      <w:r>
        <w:rPr>
          <w:rFonts w:ascii="Liberation Sans" w:hAnsi="Liberation Sans"/>
        </w:rPr>
        <w:t>Heuristic confidence is then mapped to historical top-five hit rates and observed regret. Minimum sample-size guards prevent tiny bins from being treated as reliable evidence. Scenario-specific calibration is used because a carbon-first ranking and a budget-first ranking may have different historical reliability.</w:t>
      </w:r>
    </w:p>
    <w:p>
      <w:pPr>
        <w:widowControl/>
      </w:pPr>
      <w:r>
        <w:rPr>
          <w:rFonts w:ascii="Liberation Sans" w:hAnsi="Liberation Sans"/>
        </w:rPr>
        <w:t>Confidence is therefore a statement about historical recommendation reliability, not a probability that every forecasted value is exactly correct.</w:t>
      </w:r>
    </w:p>
    <w:p>
      <w:pPr>
        <w:pStyle w:val="Heading1"/>
        <w:keepNext/>
      </w:pPr>
      <w:r>
        <w:rPr>
          <w:rFonts w:ascii="Liberation Sans" w:hAnsi="Liberation Sans"/>
        </w:rPr>
        <w:t>Chapter 9 Recommendation Evaluation</w:t>
      </w:r>
    </w:p>
    <w:p>
      <w:pPr>
        <w:pStyle w:val="Heading2"/>
        <w:keepNext/>
      </w:pPr>
      <w:r>
        <w:rPr>
          <w:rFonts w:ascii="Liberation Sans" w:hAnsi="Liberation Sans"/>
        </w:rPr>
        <w:t>Regret</w:t>
      </w:r>
    </w:p>
    <w:p>
      <w:pPr>
        <w:widowControl/>
      </w:pPr>
      <w:r>
        <w:rPr>
          <w:rFonts w:ascii="Liberation Sans" w:hAnsi="Liberation Sans"/>
        </w:rPr>
        <w:t>Regret measures the cost of the chosen decision relative to the best decision that was actually available after outcomes are known.</w:t>
      </w:r>
    </w:p>
    <w:p>
      <w:pPr>
        <w:spacing w:before="80" w:after="140" w:line="240" w:lineRule="auto"/>
        <w:ind w:left="403" w:right="403"/>
        <w:shd w:fill="F3F5F4"/>
      </w:pPr>
      <w:r>
        <w:rPr>
          <w:rFonts w:ascii="Liberation Mono" w:hAnsi="Liberation Mono"/>
          <w:sz w:val="17"/>
        </w:rPr>
        <w:t>combined regret</w:t>
        <w:br/>
        <w:t xml:space="preserve">  = actual score of recommended hour</w:t>
        <w:br/>
        <w:t xml:space="preserve">  - actual score of best feasible hour</w:t>
      </w:r>
    </w:p>
    <w:p>
      <w:pPr>
        <w:widowControl/>
      </w:pPr>
      <w:r>
        <w:rPr>
          <w:rFonts w:ascii="Liberation Sans" w:hAnsi="Liberation Sans"/>
        </w:rPr>
        <w:t>Carbon regret compares the recommended hour with the actual cleanest feasible hour. Cost regret compares it with the actual cheapest feasible hour. Zero regret means the recommendation matched the realized optimum under that objective.</w:t>
      </w:r>
    </w:p>
    <w:p>
      <w:pPr>
        <w:widowControl/>
      </w:pPr>
      <w:r>
        <w:rPr>
          <w:rFonts w:ascii="Liberation Sans" w:hAnsi="Liberation Sans"/>
        </w:rPr>
        <w:t>Analogy: forecast error asks how accurately every menu price was predicted. Regret asks how much worse the chosen meal was than the best meal that could have been ordered. The second question is closer to the user's decision.</w:t>
      </w:r>
    </w:p>
    <w:p>
      <w:pPr>
        <w:pStyle w:val="Heading2"/>
        <w:keepNext/>
      </w:pPr>
      <w:r>
        <w:rPr>
          <w:rFonts w:ascii="Liberation Sans" w:hAnsi="Liberation Sans"/>
        </w:rPr>
        <w:t>Champion Selection</w:t>
      </w:r>
    </w:p>
    <w:p>
      <w:pPr>
        <w:widowControl/>
      </w:pPr>
      <w:r>
        <w:rPr>
          <w:rFonts w:ascii="Liberation Sans" w:hAnsi="Liberation Sans"/>
        </w:rPr>
        <w:t>The champion score is lower-is-better and currently combines: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val="true"/>
          <w:cantSplit/>
        </w:trPr>
        <w:tc>
          <w:tcPr>
            <w:tcW w:type="dxa" w:w="4939"/>
            <w:vAlign w:val="center"/>
            <w:shd w:fill="315A4B"/>
            <w:tcMar>
              <w:top w:w="90" w:type="dxa"/>
              <w:start w:w="110" w:type="dxa"/>
              <w:bottom w:w="90" w:type="dxa"/>
              <w:end w:w="110" w:type="dxa"/>
            </w:tcMar>
          </w:tcPr>
          <w:p>
            <w:pPr>
              <w:jc w:val="center"/>
            </w:pPr>
            <w:r>
              <w:rPr>
                <w:rFonts w:ascii="Liberation Sans" w:hAnsi="Liberation Sans"/>
                <w:b/>
                <w:color w:val="FFFFFF"/>
                <w:sz w:val="18"/>
              </w:rPr>
              <w:t>Component</w:t>
            </w:r>
          </w:p>
        </w:tc>
        <w:tc>
          <w:tcPr>
            <w:tcW w:type="dxa" w:w="4939"/>
            <w:vAlign w:val="center"/>
            <w:shd w:fill="315A4B"/>
            <w:tcMar>
              <w:top w:w="90" w:type="dxa"/>
              <w:start w:w="110" w:type="dxa"/>
              <w:bottom w:w="90" w:type="dxa"/>
              <w:end w:w="110" w:type="dxa"/>
            </w:tcMar>
          </w:tcPr>
          <w:p>
            <w:pPr>
              <w:jc w:val="center"/>
            </w:pPr>
            <w:r>
              <w:rPr>
                <w:rFonts w:ascii="Liberation Sans" w:hAnsi="Liberation Sans"/>
                <w:b/>
                <w:color w:val="FFFFFF"/>
                <w:sz w:val="18"/>
              </w:rPr>
              <w:t>Weight</w:t>
            </w:r>
          </w:p>
        </w:tc>
      </w:tr>
      <w:tr>
        <w:trPr>
          <w:cantSplit/>
        </w:trPr>
        <w:tc>
          <w:tcPr>
            <w:tcW w:type="dxa" w:w="4939"/>
            <w:vAlign w:val="center"/>
            <w:tcMar>
              <w:top w:w="90" w:type="dxa"/>
              <w:start w:w="110" w:type="dxa"/>
              <w:bottom w:w="90" w:type="dxa"/>
              <w:end w:w="110" w:type="dxa"/>
            </w:tcMar>
          </w:tcPr>
          <w:p>
            <w:pPr>
              <w:jc w:val="left"/>
            </w:pPr>
            <w:r>
              <w:rPr>
                <w:rFonts w:ascii="Liberation Sans" w:hAnsi="Liberation Sans"/>
                <w:sz w:val="17"/>
              </w:rPr>
              <w:t>Realized recommendation regret</w:t>
            </w:r>
          </w:p>
        </w:tc>
        <w:tc>
          <w:tcPr>
            <w:tcW w:type="dxa" w:w="4939"/>
            <w:vAlign w:val="center"/>
            <w:tcMar>
              <w:top w:w="90" w:type="dxa"/>
              <w:start w:w="110" w:type="dxa"/>
              <w:bottom w:w="90" w:type="dxa"/>
              <w:end w:w="110" w:type="dxa"/>
            </w:tcMar>
          </w:tcPr>
          <w:p>
            <w:pPr>
              <w:jc w:val="center"/>
            </w:pPr>
            <w:r>
              <w:rPr>
                <w:rFonts w:ascii="Liberation Sans" w:hAnsi="Liberation Sans"/>
                <w:sz w:val="17"/>
              </w:rPr>
              <w:t>35 percent</w:t>
            </w:r>
          </w:p>
        </w:tc>
      </w:tr>
      <w:tr>
        <w:trPr>
          <w:cantSplit/>
        </w:trPr>
        <w:tc>
          <w:tcPr>
            <w:tcW w:type="dxa" w:w="4939"/>
            <w:vAlign w:val="center"/>
            <w:tcMar>
              <w:top w:w="90" w:type="dxa"/>
              <w:start w:w="110" w:type="dxa"/>
              <w:bottom w:w="90" w:type="dxa"/>
              <w:end w:w="110" w:type="dxa"/>
            </w:tcMar>
            <w:shd w:fill="EDF4F1"/>
          </w:tcPr>
          <w:p>
            <w:pPr>
              <w:jc w:val="left"/>
            </w:pPr>
            <w:r>
              <w:rPr>
                <w:rFonts w:ascii="Liberation Sans" w:hAnsi="Liberation Sans"/>
                <w:sz w:val="17"/>
              </w:rPr>
              <w:t>Carbon regret</w:t>
            </w:r>
          </w:p>
        </w:tc>
        <w:tc>
          <w:tcPr>
            <w:tcW w:type="dxa" w:w="4939"/>
            <w:vAlign w:val="center"/>
            <w:tcMar>
              <w:top w:w="90" w:type="dxa"/>
              <w:start w:w="110" w:type="dxa"/>
              <w:bottom w:w="90" w:type="dxa"/>
              <w:end w:w="110" w:type="dxa"/>
            </w:tcMar>
            <w:shd w:fill="EDF4F1"/>
          </w:tcPr>
          <w:p>
            <w:pPr>
              <w:jc w:val="center"/>
            </w:pPr>
            <w:r>
              <w:rPr>
                <w:rFonts w:ascii="Liberation Sans" w:hAnsi="Liberation Sans"/>
                <w:sz w:val="17"/>
              </w:rPr>
              <w:t>25 percent</w:t>
            </w:r>
          </w:p>
        </w:tc>
      </w:tr>
      <w:tr>
        <w:trPr>
          <w:cantSplit/>
        </w:trPr>
        <w:tc>
          <w:tcPr>
            <w:tcW w:type="dxa" w:w="4939"/>
            <w:vAlign w:val="center"/>
            <w:tcMar>
              <w:top w:w="90" w:type="dxa"/>
              <w:start w:w="110" w:type="dxa"/>
              <w:bottom w:w="90" w:type="dxa"/>
              <w:end w:w="110" w:type="dxa"/>
            </w:tcMar>
          </w:tcPr>
          <w:p>
            <w:pPr>
              <w:jc w:val="left"/>
            </w:pPr>
            <w:r>
              <w:rPr>
                <w:rFonts w:ascii="Liberation Sans" w:hAnsi="Liberation Sans"/>
                <w:sz w:val="17"/>
              </w:rPr>
              <w:t>Top-five ranking loss</w:t>
            </w:r>
          </w:p>
        </w:tc>
        <w:tc>
          <w:tcPr>
            <w:tcW w:type="dxa" w:w="4939"/>
            <w:vAlign w:val="center"/>
            <w:tcMar>
              <w:top w:w="90" w:type="dxa"/>
              <w:start w:w="110" w:type="dxa"/>
              <w:bottom w:w="90" w:type="dxa"/>
              <w:end w:w="110" w:type="dxa"/>
            </w:tcMar>
          </w:tcPr>
          <w:p>
            <w:pPr>
              <w:jc w:val="center"/>
            </w:pPr>
            <w:r>
              <w:rPr>
                <w:rFonts w:ascii="Liberation Sans" w:hAnsi="Liberation Sans"/>
                <w:sz w:val="17"/>
              </w:rPr>
              <w:t>20 percent</w:t>
            </w:r>
          </w:p>
        </w:tc>
      </w:tr>
      <w:tr>
        <w:trPr>
          <w:cantSplit/>
        </w:trPr>
        <w:tc>
          <w:tcPr>
            <w:tcW w:type="dxa" w:w="4939"/>
            <w:vAlign w:val="center"/>
            <w:tcMar>
              <w:top w:w="90" w:type="dxa"/>
              <w:start w:w="110" w:type="dxa"/>
              <w:bottom w:w="90" w:type="dxa"/>
              <w:end w:w="110" w:type="dxa"/>
            </w:tcMar>
            <w:shd w:fill="EDF4F1"/>
          </w:tcPr>
          <w:p>
            <w:pPr>
              <w:jc w:val="left"/>
            </w:pPr>
            <w:r>
              <w:rPr>
                <w:rFonts w:ascii="Liberation Sans" w:hAnsi="Liberation Sans"/>
                <w:sz w:val="17"/>
              </w:rPr>
              <w:t>Price-direction error</w:t>
            </w:r>
          </w:p>
        </w:tc>
        <w:tc>
          <w:tcPr>
            <w:tcW w:type="dxa" w:w="4939"/>
            <w:vAlign w:val="center"/>
            <w:tcMar>
              <w:top w:w="90" w:type="dxa"/>
              <w:start w:w="110" w:type="dxa"/>
              <w:bottom w:w="90" w:type="dxa"/>
              <w:end w:w="110" w:type="dxa"/>
            </w:tcMar>
            <w:shd w:fill="EDF4F1"/>
          </w:tcPr>
          <w:p>
            <w:pPr>
              <w:jc w:val="center"/>
            </w:pPr>
            <w:r>
              <w:rPr>
                <w:rFonts w:ascii="Liberation Sans" w:hAnsi="Liberation Sans"/>
                <w:sz w:val="17"/>
              </w:rPr>
              <w:t>10 percent</w:t>
            </w:r>
          </w:p>
        </w:tc>
      </w:tr>
      <w:tr>
        <w:trPr>
          <w:cantSplit/>
        </w:trPr>
        <w:tc>
          <w:tcPr>
            <w:tcW w:type="dxa" w:w="4939"/>
            <w:vAlign w:val="center"/>
            <w:tcMar>
              <w:top w:w="90" w:type="dxa"/>
              <w:start w:w="110" w:type="dxa"/>
              <w:bottom w:w="90" w:type="dxa"/>
              <w:end w:w="110" w:type="dxa"/>
            </w:tcMar>
          </w:tcPr>
          <w:p>
            <w:pPr>
              <w:jc w:val="left"/>
            </w:pPr>
            <w:r>
              <w:rPr>
                <w:rFonts w:ascii="Liberation Sans" w:hAnsi="Liberation Sans"/>
                <w:sz w:val="17"/>
              </w:rPr>
              <w:t>Carbon-intensity error</w:t>
            </w:r>
          </w:p>
        </w:tc>
        <w:tc>
          <w:tcPr>
            <w:tcW w:type="dxa" w:w="4939"/>
            <w:vAlign w:val="center"/>
            <w:tcMar>
              <w:top w:w="90" w:type="dxa"/>
              <w:start w:w="110" w:type="dxa"/>
              <w:bottom w:w="90" w:type="dxa"/>
              <w:end w:w="110" w:type="dxa"/>
            </w:tcMar>
          </w:tcPr>
          <w:p>
            <w:pPr>
              <w:jc w:val="center"/>
            </w:pPr>
            <w:r>
              <w:rPr>
                <w:rFonts w:ascii="Liberation Sans" w:hAnsi="Liberation Sans"/>
                <w:sz w:val="17"/>
              </w:rPr>
              <w:t>10 percent</w:t>
            </w:r>
          </w:p>
        </w:tc>
      </w:tr>
    </w:tbl>
    <w:p>
      <w:pPr>
        <w:spacing w:after="20"/>
      </w:pPr>
    </w:p>
    <w:p>
      <w:pPr>
        <w:widowControl/>
      </w:pPr>
      <w:r>
        <w:rPr>
          <w:rFonts w:ascii="Liberation Sans" w:hAnsi="Liberation Sans"/>
        </w:rPr>
        <w:t>This prevents forecast MAE from becoming the sole model-selection criterion. Guarded metrics also prevent a candidate from winning the weighted average by materially damaging recommendation or carbon regret.</w:t>
      </w:r>
    </w:p>
    <w:p>
      <w:pPr>
        <w:pStyle w:val="Heading2"/>
        <w:keepNext/>
      </w:pPr>
      <w:r>
        <w:rPr>
          <w:rFonts w:ascii="Liberation Sans" w:hAnsi="Liberation Sans"/>
        </w:rPr>
        <w:t>Policy Backtesting</w:t>
      </w:r>
    </w:p>
    <w:p>
      <w:pPr>
        <w:widowControl/>
      </w:pPr>
      <w:r>
        <w:rPr>
          <w:rFonts w:ascii="Liberation Sans" w:hAnsi="Liberation Sans"/>
        </w:rPr>
        <w:t>Historical policy backtests evaluate the exact rank-one recommendation emitted by each model and scenario. They report top-one and top-five hit rates, realized regret, confidence, and whether the uncertainty guard could find a low-risk option.</w:t>
      </w:r>
    </w:p>
    <w:p>
      <w:pPr>
        <w:pStyle w:val="Heading2"/>
        <w:keepNext/>
      </w:pPr>
      <w:r>
        <w:rPr>
          <w:rFonts w:ascii="Liberation Sans" w:hAnsi="Liberation Sans"/>
        </w:rPr>
        <w:t>Previous Day Outcome Audit</w:t>
      </w:r>
    </w:p>
    <w:p>
      <w:pPr>
        <w:widowControl/>
      </w:pPr>
      <w:r>
        <w:rPr>
          <w:rFonts w:ascii="Liberation Sans" w:hAnsi="Liberation Sans"/>
        </w:rPr>
        <w:t>Operational recommendations are appended to history. Once actual data arrives, the audit joins each past recommendation to observed price, production, consumption, and carbon intensity. It recomputes actual ranks and regret. This distinguishes offline validation from genuine production behavior.</w:t>
      </w:r>
    </w:p>
    <w:p>
      <w:pPr>
        <w:pStyle w:val="Heading1"/>
        <w:keepNext/>
      </w:pPr>
      <w:r>
        <w:rPr>
          <w:rFonts w:ascii="Liberation Sans" w:hAnsi="Liberation Sans"/>
        </w:rPr>
        <w:t>Chapter 10 Average And Marginal Emissions</w:t>
      </w:r>
    </w:p>
    <w:p>
      <w:pPr>
        <w:pStyle w:val="Heading2"/>
        <w:keepNext/>
      </w:pPr>
      <w:r>
        <w:rPr>
          <w:rFonts w:ascii="Liberation Sans" w:hAnsi="Liberation Sans"/>
        </w:rPr>
        <w:t>Average Emissions</w:t>
      </w:r>
    </w:p>
    <w:p>
      <w:pPr>
        <w:widowControl/>
      </w:pPr>
      <w:r>
        <w:rPr>
          <w:rFonts w:ascii="Liberation Sans" w:hAnsi="Liberation Sans"/>
        </w:rPr>
        <w:t>Average carbon intensity divides all current generation emissions by all current generation. It answers an attribution question: how carbon-intensive was the electricity mix on average?</w:t>
      </w:r>
    </w:p>
    <w:p>
      <w:pPr>
        <w:pStyle w:val="Heading2"/>
        <w:keepNext/>
      </w:pPr>
      <w:r>
        <w:rPr>
          <w:rFonts w:ascii="Liberation Sans" w:hAnsi="Liberation Sans"/>
        </w:rPr>
        <w:t>Marginal Emissions</w:t>
      </w:r>
    </w:p>
    <w:p>
      <w:pPr>
        <w:widowControl/>
      </w:pPr>
      <w:r>
        <w:rPr>
          <w:rFonts w:ascii="Liberation Sans" w:hAnsi="Liberation Sans"/>
        </w:rPr>
        <w:t>Marginal emissions ask which generators, imports, storage assets, or curtailment decisions respond to an incremental change in demand. This is the more relevant concept for a flexible workload because the workload does not consume a proportional slice of every generator.</w:t>
      </w:r>
    </w:p>
    <w:p>
      <w:pPr>
        <w:widowControl/>
      </w:pPr>
      <w:r>
        <w:rPr>
          <w:rFonts w:ascii="Liberation Sans" w:hAnsi="Liberation Sans"/>
        </w:rPr>
        <w:t>Analogy: the average cost of feeding a group includes the rent, staff, and every dish already prepared. The marginal cost of one extra guest depends on what the kitchen must cook next. Average and marginal values answer different questions.</w:t>
      </w:r>
    </w:p>
    <w:p>
      <w:pPr>
        <w:pStyle w:val="Heading2"/>
        <w:keepNext/>
      </w:pPr>
      <w:r>
        <w:rPr>
          <w:rFonts w:ascii="Liberation Sans" w:hAnsi="Liberation Sans"/>
        </w:rPr>
        <w:t>Current Marginal Emissions Proxy</w:t>
      </w:r>
    </w:p>
    <w:p>
      <w:pPr>
        <w:widowControl/>
      </w:pPr>
      <w:r>
        <w:rPr>
          <w:rFonts w:ascii="Liberation Sans" w:hAnsi="Liberation Sans"/>
        </w:rPr>
        <w:t>The current MVP examines positive hour-to-hour generation changes by source. It treats the increasing source mix as the responding marginal mix:</w:t>
      </w:r>
    </w:p>
    <w:p>
      <w:pPr>
        <w:spacing w:before="80" w:after="140" w:line="240" w:lineRule="auto"/>
        <w:ind w:left="403" w:right="403"/>
        <w:shd w:fill="F3F5F4"/>
      </w:pPr>
      <w:r>
        <w:rPr>
          <w:rFonts w:ascii="Liberation Mono" w:hAnsi="Liberation Mono"/>
          <w:sz w:val="17"/>
        </w:rPr>
        <w:t>marginal proxy intensity</w:t>
        <w:br/>
        <w:t xml:space="preserve">  = sum of positive source generation change multiplied by source emissions factor</w:t>
        <w:br/>
        <w:t xml:space="preserve">  / sum of positive source generation change</w:t>
      </w:r>
    </w:p>
    <w:p>
      <w:pPr>
        <w:widowControl/>
      </w:pPr>
      <w:r>
        <w:rPr>
          <w:rFonts w:ascii="Liberation Sans" w:hAnsi="Liberation Sans"/>
        </w:rPr>
        <w:t>The proxy records its dominant source, response shares, coverage, and a coarse confidence label. If no usable response is available, recommendation logic falls back explicitly to average carbon rather than hiding the missing evidence.</w:t>
      </w:r>
    </w:p>
    <w:p>
      <w:pPr>
        <w:pStyle w:val="Heading2"/>
        <w:keepNext/>
      </w:pPr>
      <w:r>
        <w:rPr>
          <w:rFonts w:ascii="Liberation Sans" w:hAnsi="Liberation Sans"/>
        </w:rPr>
        <w:t>What The Proxy Cannot Prove</w:t>
      </w:r>
    </w:p>
    <w:p>
      <w:pPr>
        <w:widowControl/>
      </w:pPr>
      <w:r>
        <w:rPr>
          <w:rFonts w:ascii="Liberation Sans" w:hAnsi="Liberation Sans"/>
        </w:rPr>
        <w:t>Generation can change because of demand, weather, outages, exports, storage, market schedules, ramp constraints, and renewable curtailment. Positive generation changes are therefore not automatically caused by a workload. The current causal-adjusted dashboard basis remains a marginal-emissions proxy, not an identified treatment effect.</w:t>
      </w:r>
    </w:p>
    <w:p>
      <w:pPr>
        <w:widowControl/>
      </w:pPr>
      <w:r>
        <w:rPr>
          <w:rFonts w:ascii="Liberation Sans" w:hAnsi="Liberation Sans"/>
        </w:rPr>
        <w:t>The proxy is still useful for comparing average-carbon and marginal-carbon rankings. The platform measures top-one changes, top-five overlap, absolute rank displacement, proxy coverage, and regret differences.</w:t>
      </w:r>
    </w:p>
    <w:p>
      <w:pPr>
        <w:pStyle w:val="Heading1"/>
        <w:keepNext/>
      </w:pPr>
      <w:r>
        <w:rPr>
          <w:rFonts w:ascii="Liberation Sans" w:hAnsi="Liberation Sans"/>
        </w:rPr>
        <w:t>Chapter 11 The Causal Estimand</w:t>
      </w:r>
    </w:p>
    <w:p>
      <w:pPr>
        <w:pStyle w:val="Heading2"/>
        <w:keepNext/>
      </w:pPr>
      <w:r>
        <w:rPr>
          <w:rFonts w:ascii="Liberation Sans" w:hAnsi="Liberation Sans"/>
        </w:rPr>
        <w:t>The Exact Question</w:t>
      </w:r>
    </w:p>
    <w:p>
      <w:pPr>
        <w:widowControl/>
      </w:pPr>
      <w:r>
        <w:rPr>
          <w:rFonts w:ascii="Liberation Sans" w:hAnsi="Liberation Sans"/>
        </w:rPr>
        <w:t>The primary estimand is the conditional short-run emissions effect of moving a flexible workload from a baseline hour to a candidate hour.</w:t>
      </w:r>
    </w:p>
    <w:p>
      <w:pPr>
        <w:spacing w:before="80" w:after="140" w:line="240" w:lineRule="auto"/>
        <w:ind w:left="403" w:right="403"/>
        <w:shd w:fill="F3F5F4"/>
      </w:pPr>
      <w:r>
        <w:rPr>
          <w:rFonts w:ascii="Liberation Mono" w:hAnsi="Liberation Mono"/>
          <w:sz w:val="17"/>
        </w:rPr>
        <w:t>effect of shift from a to b</w:t>
        <w:br/>
        <w:t xml:space="preserve">  = expected total system emissions under the shifted schedule</w:t>
        <w:br/>
        <w:t xml:space="preserve">  - expected total system emissions under the baseline schedule</w:t>
      </w:r>
    </w:p>
    <w:p>
      <w:pPr>
        <w:widowControl/>
      </w:pPr>
      <w:r>
        <w:rPr>
          <w:rFonts w:ascii="Liberation Sans" w:hAnsi="Liberation Sans"/>
        </w:rPr>
        <w:t>Negative values indicate that the shift reduces emissions. The normalized treatment moves a one MWh, one-hour workload while conserving total energy.</w:t>
      </w:r>
    </w:p>
    <w:p>
      <w:pPr>
        <w:pStyle w:val="Heading2"/>
        <w:keepNext/>
      </w:pPr>
      <w:r>
        <w:rPr>
          <w:rFonts w:ascii="Liberation Sans" w:hAnsi="Liberation Sans"/>
        </w:rPr>
        <w:t>Baseline Definition</w:t>
      </w:r>
    </w:p>
    <w:p>
      <w:pPr>
        <w:widowControl/>
      </w:pPr>
      <w:r>
        <w:rPr>
          <w:rFonts w:ascii="Liberation Sans" w:hAnsi="Liberation Sans"/>
        </w:rPr>
        <w:t>The baseline defaults to the exact dashboard access timestamp because the product does not know the user's planned start time. A future dashboard field will allow the user to enter a planned start, which then overrides dashboard access time. The precise timestamp must be stored in UTC.</w:t>
      </w:r>
    </w:p>
    <w:p>
      <w:pPr>
        <w:widowControl/>
      </w:pPr>
      <w:r>
        <w:rPr>
          <w:rFonts w:ascii="Liberation Sans" w:hAnsi="Liberation Sans"/>
        </w:rPr>
        <w:t>This resolves the ambiguity of the phrase run now. A comparison is meaningful only when the reference time is explicit.</w:t>
      </w:r>
    </w:p>
    <w:p>
      <w:pPr>
        <w:pStyle w:val="Heading2"/>
        <w:keepNext/>
      </w:pPr>
      <w:r>
        <w:rPr>
          <w:rFonts w:ascii="Liberation Sans" w:hAnsi="Liberation Sans"/>
        </w:rPr>
        <w:t>Outcome Boundary</w:t>
      </w:r>
    </w:p>
    <w:p>
      <w:pPr>
        <w:widowControl/>
      </w:pPr>
      <w:r>
        <w:rPr>
          <w:rFonts w:ascii="Liberation Sans" w:hAnsi="Liberation Sans"/>
        </w:rPr>
        <w:t>The outcome is total direct operational emissions across France and responding interconnected European bidding zones. A French workload may change imports or exports, so French domestic generation alone is not a complete causal boundary.</w:t>
      </w:r>
    </w:p>
    <w:p>
      <w:pPr>
        <w:widowControl/>
      </w:pPr>
      <w:r>
        <w:rPr>
          <w:rFonts w:ascii="Liberation Sans" w:hAnsi="Liberation Sans"/>
        </w:rPr>
        <w:t>The primary response horizon runs through workload completion plus six hours. Six, twelve, and twenty-four-hour windows are retained as sensitivity checks for delayed ramping, storage, balancing, and cross-border effects.</w:t>
      </w:r>
    </w:p>
    <w:p>
      <w:pPr>
        <w:pStyle w:val="Heading2"/>
        <w:keepNext/>
      </w:pPr>
      <w:r>
        <w:rPr>
          <w:rFonts w:ascii="Liberation Sans" w:hAnsi="Liberation Sans"/>
        </w:rPr>
        <w:t>Product Objective</w:t>
      </w:r>
    </w:p>
    <w:p>
      <w:pPr>
        <w:widowControl/>
      </w:pPr>
      <w:r>
        <w:rPr>
          <w:rFonts w:ascii="Liberation Sans" w:hAnsi="Liberation Sans"/>
        </w:rPr>
        <w:t>The future causal recommendation objective is to maximize confidently avoided kg CO2e. The decision statistic should use a conservative lower confidence bound of avoided emissions. Price, service-level risk, and feasibility remain constraints or secondary objectives rather than being mixed into the causal effect itself.</w:t>
      </w:r>
    </w:p>
    <w:p>
      <w:pPr>
        <w:pStyle w:val="Heading1"/>
        <w:keepNext/>
      </w:pPr>
      <w:r>
        <w:rPr>
          <w:rFonts w:ascii="Liberation Sans" w:hAnsi="Liberation Sans"/>
        </w:rPr>
        <w:t>Chapter 12 The Causal Graphs</w:t>
      </w:r>
    </w:p>
    <w:p>
      <w:pPr>
        <w:pStyle w:val="Heading2"/>
        <w:keepNext/>
      </w:pPr>
      <w:r>
        <w:rPr>
          <w:rFonts w:ascii="Liberation Sans" w:hAnsi="Liberation Sans"/>
        </w:rPr>
        <w:t>Grid Effect Graph</w:t>
      </w:r>
    </w:p>
    <w:p>
      <w:pPr>
        <w:spacing w:before="80" w:after="140" w:line="240" w:lineRule="auto"/>
        <w:ind w:left="403" w:right="403"/>
        <w:shd w:fill="F3F5F4"/>
      </w:pPr>
      <w:r>
        <w:rPr>
          <w:rFonts w:ascii="Liberation Mono" w:hAnsi="Liberation Mono"/>
          <w:sz w:val="17"/>
        </w:rPr>
        <w:t>pre-decision forecasts prices outages capacities and storage state</w:t>
        <w:br/>
        <w:t xml:space="preserve">  -&gt; baseline grid state</w:t>
        <w:br/>
        <w:t xml:space="preserve">  -&gt; workload timing</w:t>
        <w:br/>
        <w:br/>
        <w:t>workload timing</w:t>
        <w:br/>
        <w:t xml:space="preserve">  -&gt; net load</w:t>
        <w:br/>
        <w:t xml:space="preserve">  -&gt; generator dispatch imports storage curtailment and balancing</w:t>
        <w:br/>
        <w:t xml:space="preserve">  -&gt; total operational emissions</w:t>
      </w:r>
    </w:p>
    <w:p>
      <w:pPr>
        <w:widowControl/>
      </w:pPr>
      <w:r>
        <w:rPr>
          <w:rFonts w:ascii="Liberation Sans" w:hAnsi="Liberation Sans"/>
        </w:rPr>
        <w:t>The pre-decision adjustment set includes calendar, weather forecast, baseline-load forecast, renewable-generation forecast, known outages, fuel and carbon prices, interconnector capacity, and initial storage state.</w:t>
      </w:r>
    </w:p>
    <w:p>
      <w:pPr>
        <w:widowControl/>
      </w:pPr>
      <w:r>
        <w:rPr>
          <w:rFonts w:ascii="Liberation Sans" w:hAnsi="Liberation Sans"/>
        </w:rPr>
        <w:t>Net load, dispatch, cross-border flows, storage dispatch, curtailment, and balancing are mediators. Conditioning on them while estimating the total effect can block part of the effect we are trying to measure.</w:t>
      </w:r>
    </w:p>
    <w:p>
      <w:pPr>
        <w:widowControl/>
      </w:pPr>
      <w:r>
        <w:rPr>
          <w:rFonts w:ascii="Liberation Sans" w:hAnsi="Liberation Sans"/>
        </w:rPr>
        <w:t>Analogy: if exercise affects health partly through weight loss, controlling for weight loss removes part of exercise's total effect. Dispatch plays a similar mediator role between workload timing and emissions.</w:t>
      </w:r>
    </w:p>
    <w:p>
      <w:pPr>
        <w:pStyle w:val="Heading2"/>
        <w:keepNext/>
      </w:pPr>
      <w:r>
        <w:rPr>
          <w:rFonts w:ascii="Liberation Sans" w:hAnsi="Liberation Sans"/>
        </w:rPr>
        <w:t>Product Effect Graph</w:t>
      </w:r>
    </w:p>
    <w:p>
      <w:pPr>
        <w:widowControl/>
      </w:pPr>
      <w:r>
        <w:rPr>
          <w:rFonts w:ascii="Liberation Sans" w:hAnsi="Liberation Sans"/>
        </w:rPr>
        <w:t>The effect of showing a recommendation is a separate question:</w:t>
      </w:r>
    </w:p>
    <w:p>
      <w:pPr>
        <w:spacing w:before="80" w:after="140" w:line="240" w:lineRule="auto"/>
        <w:ind w:left="403" w:right="403"/>
        <w:shd w:fill="F3F5F4"/>
      </w:pPr>
      <w:r>
        <w:rPr>
          <w:rFonts w:ascii="Liberation Mono" w:hAnsi="Liberation Mono"/>
          <w:sz w:val="17"/>
        </w:rPr>
        <w:t>recommendation shown</w:t>
        <w:br/>
        <w:t xml:space="preserve">  -&gt; recommendation accepted</w:t>
        <w:br/>
        <w:t xml:space="preserve">  -&gt; realized workload shift</w:t>
        <w:br/>
        <w:t xml:space="preserve">  -&gt; grid response</w:t>
        <w:br/>
        <w:t xml:space="preserve">  -&gt; emissions</w:t>
      </w:r>
    </w:p>
    <w:p>
      <w:pPr>
        <w:widowControl/>
      </w:pPr>
      <w:r>
        <w:rPr>
          <w:rFonts w:ascii="Liberation Sans" w:hAnsi="Liberation Sans"/>
        </w:rPr>
        <w:t>User constraints influence acceptance and realized timing. Estimating this product effect requires exposure logs, acceptance, actual workload telemetry, and user constraints. The current system defines this graph but does not estimate the product effect.</w:t>
      </w:r>
    </w:p>
    <w:p>
      <w:pPr>
        <w:pStyle w:val="Heading2"/>
        <w:keepNext/>
      </w:pPr>
      <w:r>
        <w:rPr>
          <w:rFonts w:ascii="Liberation Sans" w:hAnsi="Liberation Sans"/>
        </w:rPr>
        <w:t>Contract Validation</w:t>
      </w:r>
    </w:p>
    <w:p>
      <w:pPr>
        <w:widowControl/>
      </w:pPr>
      <w:r>
        <w:rPr>
          <w:rFonts w:ascii="Liberation Sans" w:hAnsi="Liberation Sans"/>
        </w:rPr>
        <w:t>The versioned contract validates that the graph is acyclic, that a treatment-to-outcome path exists, and that adjustment variables occur before treatment. It rejects treatment descendants and mediators in the adjustment set. The current contract is a design artifact. It does not transform the marginal proxy into a causal estimate.</w:t>
      </w:r>
    </w:p>
    <w:p>
      <w:pPr>
        <w:pStyle w:val="Heading1"/>
        <w:keepNext/>
      </w:pPr>
      <w:r>
        <w:rPr>
          <w:rFonts w:ascii="Liberation Sans" w:hAnsi="Liberation Sans"/>
        </w:rPr>
        <w:t>Chapter 13 Building A Stronger Causal Estimator</w:t>
      </w:r>
    </w:p>
    <w:p>
      <w:pPr>
        <w:pStyle w:val="Heading2"/>
        <w:keepNext/>
      </w:pPr>
      <w:r>
        <w:rPr>
          <w:rFonts w:ascii="Liberation Sans" w:hAnsi="Liberation Sans"/>
        </w:rPr>
        <w:t>Required Data Expansion</w:t>
      </w:r>
    </w:p>
    <w:p>
      <w:pPr>
        <w:widowControl/>
      </w:pPr>
      <w:r>
        <w:rPr>
          <w:rFonts w:ascii="Liberation Sans" w:hAnsi="Liberation Sans"/>
        </w:rPr>
        <w:t>The next causal stage needs actual and forecast load, renewable forecasts and errors, cross-border physical and scheduled flows, outages, balancing activation, storage state, curtailment, interconnector capacity, fuel prices, EU ETS prices, and preferably more granular dispatch. ENTSO-E is the main European source for this expansion.</w:t>
      </w:r>
    </w:p>
    <w:p>
      <w:pPr>
        <w:widowControl/>
      </w:pPr>
      <w:r>
        <w:rPr>
          <w:rFonts w:ascii="Liberation Sans" w:hAnsi="Liberation Sans"/>
        </w:rPr>
        <w:t>The first ENTSO-E data contract covers France and its directly connected bidding zones. It stores</w:t>
      </w:r>
    </w:p>
    <w:p>
      <w:pPr>
        <w:widowControl/>
      </w:pPr>
      <w:r>
        <w:rPr>
          <w:rFonts w:ascii="Liberation Sans" w:hAnsi="Liberation Sans"/>
        </w:rPr>
        <w:t>directional physical flows, scheduled exchanges, transfer capacity, versioned load and renewable</w:t>
      </w:r>
    </w:p>
    <w:p>
      <w:pPr>
        <w:widowControl/>
      </w:pPr>
      <w:r>
        <w:rPr>
          <w:rFonts w:ascii="Liberation Sans" w:hAnsi="Liberation Sans"/>
        </w:rPr>
        <w:t>forecasts, outage revisions, and native-resolution balancing data. Operational forecast snapshots</w:t>
      </w:r>
    </w:p>
    <w:p>
      <w:pPr>
        <w:widowControl/>
      </w:pPr>
      <w:r>
        <w:rPr>
          <w:rFonts w:ascii="Liberation Sans" w:hAnsi="Liberation Sans"/>
        </w:rPr>
        <w:t>can be joined to later settled actuals to measure what the system genuinely knew at decision time.</w:t>
      </w:r>
    </w:p>
    <w:p>
      <w:pPr>
        <w:widowControl/>
      </w:pPr>
      <w:r>
        <w:rPr>
          <w:rFonts w:ascii="Liberation Sans" w:hAnsi="Liberation Sans"/>
        </w:rPr>
        <w:t xml:space="preserve">Historical downloads are marked </w:t>
      </w:r>
      <w:r>
        <w:rPr>
          <w:rFonts w:ascii="Liberation Mono" w:hAnsi="Liberation Mono"/>
          <w:sz w:val="19"/>
        </w:rPr>
        <w:t>historical_final</w:t>
      </w:r>
      <w:r>
        <w:rPr>
          <w:rFonts w:ascii="Liberation Sans" w:hAnsi="Liberation Sans"/>
        </w:rPr>
        <w:t>: they help exploratory modeling, but they do not</w:t>
      </w:r>
    </w:p>
    <w:p>
      <w:pPr>
        <w:widowControl/>
      </w:pPr>
      <w:r>
        <w:rPr>
          <w:rFonts w:ascii="Liberation Sans" w:hAnsi="Liberation Sans"/>
        </w:rPr>
        <w:t>prove that the same forecast vintage was available at a past decision time.</w:t>
      </w:r>
    </w:p>
    <w:p>
      <w:pPr>
        <w:widowControl/>
      </w:pPr>
      <w:r>
        <w:rPr>
          <w:rFonts w:ascii="Liberation Sans" w:hAnsi="Liberation Sans"/>
        </w:rPr>
        <w:t>Analogy: an operational snapshot is a photograph taken before the match; a historical final value is</w:t>
      </w:r>
    </w:p>
    <w:p>
      <w:pPr>
        <w:widowControl/>
      </w:pPr>
      <w:r>
        <w:rPr>
          <w:rFonts w:ascii="Liberation Sans" w:hAnsi="Liberation Sans"/>
        </w:rPr>
        <w:t>the edited match report. Both contain useful information, but only the photograph can establish what</w:t>
      </w:r>
    </w:p>
    <w:p>
      <w:pPr>
        <w:widowControl/>
      </w:pPr>
      <w:r>
        <w:rPr>
          <w:rFonts w:ascii="Liberation Sans" w:hAnsi="Liberation Sans"/>
        </w:rPr>
        <w:t>was visible before play began.</w:t>
      </w:r>
    </w:p>
    <w:p>
      <w:pPr>
        <w:pStyle w:val="Heading2"/>
        <w:keepNext/>
      </w:pPr>
      <w:r>
        <w:rPr>
          <w:rFonts w:ascii="Liberation Sans" w:hAnsi="Liberation Sans"/>
        </w:rPr>
        <w:t>Causal Feature Mart And Readiness Gate</w:t>
      </w:r>
    </w:p>
    <w:p>
      <w:pPr>
        <w:widowControl/>
      </w:pPr>
      <w:r>
        <w:rPr>
          <w:rFonts w:ascii="Liberation Sans" w:hAnsi="Liberation Sans"/>
        </w:rPr>
        <w:t>The historical inputs are assembled into one hourly causal feature mart. Each column is named by</w:t>
      </w:r>
    </w:p>
    <w:p>
      <w:pPr>
        <w:widowControl/>
      </w:pPr>
      <w:r>
        <w:rPr>
          <w:rFonts w:ascii="Liberation Sans" w:hAnsi="Liberation Sans"/>
        </w:rPr>
        <w:t xml:space="preserve">its role: </w:t>
      </w:r>
      <w:r>
        <w:rPr>
          <w:rFonts w:ascii="Liberation Mono" w:hAnsi="Liberation Mono"/>
          <w:sz w:val="19"/>
        </w:rPr>
        <w:t>pre_</w:t>
      </w:r>
      <w:r>
        <w:rPr>
          <w:rFonts w:ascii="Liberation Sans" w:hAnsi="Liberation Sans"/>
        </w:rPr>
        <w:t xml:space="preserve"> for possible pre-treatment controls, </w:t>
      </w:r>
      <w:r>
        <w:rPr>
          <w:rFonts w:ascii="Liberation Mono" w:hAnsi="Liberation Mono"/>
          <w:sz w:val="19"/>
        </w:rPr>
        <w:t>treatment_proxy_</w:t>
      </w:r>
      <w:r>
        <w:rPr>
          <w:rFonts w:ascii="Liberation Sans" w:hAnsi="Liberation Sans"/>
        </w:rPr>
        <w:t xml:space="preserve"> for the observed load</w:t>
      </w:r>
    </w:p>
    <w:p>
      <w:pPr>
        <w:widowControl/>
      </w:pPr>
      <w:r>
        <w:rPr>
          <w:rFonts w:ascii="Liberation Sans" w:hAnsi="Liberation Sans"/>
        </w:rPr>
        <w:t xml:space="preserve">innovation, </w:t>
      </w:r>
      <w:r>
        <w:rPr>
          <w:rFonts w:ascii="Liberation Mono" w:hAnsi="Liberation Mono"/>
          <w:sz w:val="19"/>
        </w:rPr>
        <w:t>outcome_</w:t>
      </w:r>
      <w:r>
        <w:rPr>
          <w:rFonts w:ascii="Liberation Sans" w:hAnsi="Liberation Sans"/>
        </w:rPr>
        <w:t xml:space="preserve"> for emissions, </w:t>
      </w:r>
      <w:r>
        <w:rPr>
          <w:rFonts w:ascii="Liberation Mono" w:hAnsi="Liberation Mono"/>
          <w:sz w:val="19"/>
        </w:rPr>
        <w:t>mediator_</w:t>
      </w:r>
      <w:r>
        <w:rPr>
          <w:rFonts w:ascii="Liberation Sans" w:hAnsi="Liberation Sans"/>
        </w:rPr>
        <w:t xml:space="preserve"> for grid responses such as physical flows and</w:t>
      </w:r>
    </w:p>
    <w:p>
      <w:pPr>
        <w:widowControl/>
      </w:pPr>
      <w:r>
        <w:rPr>
          <w:rFonts w:ascii="Liberation Sans" w:hAnsi="Liberation Sans"/>
        </w:rPr>
        <w:t xml:space="preserve">balancing, and </w:t>
      </w:r>
      <w:r>
        <w:rPr>
          <w:rFonts w:ascii="Liberation Mono" w:hAnsi="Liberation Mono"/>
          <w:sz w:val="19"/>
        </w:rPr>
        <w:t>diagnostic_</w:t>
      </w:r>
      <w:r>
        <w:rPr>
          <w:rFonts w:ascii="Liberation Sans" w:hAnsi="Liberation Sans"/>
        </w:rPr>
        <w:t xml:space="preserve"> for settled values that must not be adjusted away. Forecast errors are</w:t>
      </w:r>
    </w:p>
    <w:p>
      <w:pPr>
        <w:widowControl/>
      </w:pPr>
      <w:r>
        <w:rPr>
          <w:rFonts w:ascii="Liberation Sans" w:hAnsi="Liberation Sans"/>
        </w:rPr>
        <w:t>safe controls only after they are lagged; the same-hour error is known after the response begins.</w:t>
      </w:r>
    </w:p>
    <w:p>
      <w:pPr>
        <w:widowControl/>
      </w:pPr>
      <w:r>
        <w:rPr>
          <w:rFonts w:ascii="Liberation Sans" w:hAnsi="Liberation Sans"/>
        </w:rPr>
        <w:t>The France outcome sums settled source generation multiplied by the versioned direct-operational</w:t>
      </w:r>
    </w:p>
    <w:p>
      <w:pPr>
        <w:widowControl/>
      </w:pPr>
      <w:r>
        <w:rPr>
          <w:rFonts w:ascii="Liberation Sans" w:hAnsi="Liberation Sans"/>
        </w:rPr>
        <w:t>emission factors. Published average carbon intensity remains a diagnostic rather than replacing</w:t>
      </w:r>
    </w:p>
    <w:p>
      <w:pPr>
        <w:widowControl/>
      </w:pPr>
      <w:r>
        <w:rPr>
          <w:rFonts w:ascii="Liberation Sans" w:hAnsi="Liberation Sans"/>
        </w:rPr>
        <w:t>that declared outcome.</w:t>
      </w:r>
    </w:p>
    <w:p>
      <w:pPr>
        <w:widowControl/>
      </w:pPr>
      <w:r>
        <w:rPr>
          <w:rFonts w:ascii="Liberation Sans" w:hAnsi="Liberation Sans"/>
        </w:rPr>
        <w:t>The agreed spatial boundary is implemented with hourly generation for Belgium,</w:t>
      </w:r>
    </w:p>
    <w:p>
      <w:pPr>
        <w:widowControl/>
      </w:pPr>
      <w:r>
        <w:rPr>
          <w:rFonts w:ascii="Liberation Sans" w:hAnsi="Liberation Sans"/>
        </w:rPr>
        <w:t>Germany-Luxembourg, Switzerland, Northern Italy, Spain, and Great Britain. ENTSO-E supplies the</w:t>
      </w:r>
    </w:p>
    <w:p>
      <w:pPr>
        <w:widowControl/>
      </w:pPr>
      <w:r>
        <w:rPr>
          <w:rFonts w:ascii="Liberation Sans" w:hAnsi="Liberation Sans"/>
        </w:rPr>
        <w:t>continental production mix, while Elexon supplies Great Britain because the equivalent ENTSO-E</w:t>
      </w:r>
    </w:p>
    <w:p>
      <w:pPr>
        <w:widowControl/>
      </w:pPr>
      <w:r>
        <w:rPr>
          <w:rFonts w:ascii="Liberation Sans" w:hAnsi="Liberation Sans"/>
        </w:rPr>
        <w:t>query is unavailable. Each zone is converted to point, lower, and upper direct-emissions outcomes.</w:t>
      </w:r>
    </w:p>
    <w:p>
      <w:pPr>
        <w:widowControl/>
      </w:pPr>
      <w:r>
        <w:rPr>
          <w:rFonts w:ascii="Liberation Sans" w:hAnsi="Liberation Sans"/>
        </w:rPr>
        <w:t>Heterogeneous Other generation receives a wide factor range, and a coverage gate prevents a</w:t>
      </w:r>
    </w:p>
    <w:p>
      <w:pPr>
        <w:widowControl/>
      </w:pPr>
      <w:r>
        <w:rPr>
          <w:rFonts w:ascii="Liberation Sans" w:hAnsi="Liberation Sans"/>
        </w:rPr>
        <w:t>missing zone from being interpreted as zero emissions.</w:t>
      </w:r>
    </w:p>
    <w:p>
      <w:pPr>
        <w:widowControl/>
      </w:pPr>
      <w:r>
        <w:rPr>
          <w:rFonts w:ascii="Liberation Sans" w:hAnsi="Liberation Sans"/>
        </w:rPr>
        <w:t>Elexon relies on operationally metered generation and underrepresents embedded renewables, so this</w:t>
      </w:r>
    </w:p>
    <w:p>
      <w:pPr>
        <w:widowControl/>
      </w:pPr>
      <w:r>
        <w:rPr>
          <w:rFonts w:ascii="Liberation Sans" w:hAnsi="Liberation Sans"/>
        </w:rPr>
        <w:t>measurement limitation remains explicit even after the geographic boundary is populated.</w:t>
      </w:r>
    </w:p>
    <w:p>
      <w:pPr>
        <w:widowControl/>
      </w:pPr>
      <w:r>
        <w:rPr>
          <w:rFonts w:ascii="Liberation Sans" w:hAnsi="Liberation Sans"/>
        </w:rPr>
        <w:t>Analogy: the mart is a courtroom evidence table. Information available before the event goes in one</w:t>
      </w:r>
    </w:p>
    <w:p>
      <w:pPr>
        <w:widowControl/>
      </w:pPr>
      <w:r>
        <w:rPr>
          <w:rFonts w:ascii="Liberation Sans" w:hAnsi="Liberation Sans"/>
        </w:rPr>
        <w:t>folder, what happened during the event goes in another, and the final outcome goes in a third. The</w:t>
      </w:r>
    </w:p>
    <w:p>
      <w:pPr>
        <w:widowControl/>
      </w:pPr>
      <w:r>
        <w:rPr>
          <w:rFonts w:ascii="Liberation Sans" w:hAnsi="Liberation Sans"/>
        </w:rPr>
        <w:t>labels stop us from accidentally using the outcome to explain itself.</w:t>
      </w:r>
    </w:p>
    <w:p>
      <w:pPr>
        <w:widowControl/>
      </w:pPr>
      <w:r>
        <w:rPr>
          <w:rFonts w:ascii="Liberation Sans" w:hAnsi="Liberation Sans"/>
        </w:rPr>
        <w:t>The accompanying readiness report separates data engineering readiness from causal readiness. A</w:t>
      </w:r>
    </w:p>
    <w:p>
      <w:pPr>
        <w:widowControl/>
      </w:pPr>
      <w:r>
        <w:rPr>
          <w:rFonts w:ascii="Liberation Sans" w:hAnsi="Liberation Sans"/>
        </w:rPr>
        <w:t>complete, unique hourly table can be ready for descriptive proxy analysis while the identified</w:t>
      </w:r>
    </w:p>
    <w:p>
      <w:pPr>
        <w:widowControl/>
      </w:pPr>
      <w:r>
        <w:rPr>
          <w:rFonts w:ascii="Liberation Sans" w:hAnsi="Liberation Sans"/>
        </w:rPr>
        <w:t>estimator remains blocked. Current blockers include historical-final rather than point-in-time</w:t>
      </w:r>
    </w:p>
    <w:p>
      <w:pPr>
        <w:widowControl/>
      </w:pPr>
      <w:r>
        <w:rPr>
          <w:rFonts w:ascii="Liberation Sans" w:hAnsi="Liberation Sans"/>
        </w:rPr>
        <w:t>forecast vintages, missing historical weather forecasts, fuel and carbon prices, initial storage</w:t>
      </w:r>
    </w:p>
    <w:p>
      <w:pPr>
        <w:widowControl/>
      </w:pPr>
      <w:r>
        <w:rPr>
          <w:rFonts w:ascii="Liberation Sans" w:hAnsi="Liberation Sans"/>
        </w:rPr>
        <w:t>state, incomplete historical coverage until the connected-zone backfill finishes, and an observed</w:t>
      </w:r>
    </w:p>
    <w:p>
      <w:pPr>
        <w:widowControl/>
      </w:pPr>
      <w:r>
        <w:rPr>
          <w:rFonts w:ascii="Liberation Sans" w:hAnsi="Liberation Sans"/>
        </w:rPr>
        <w:t>workload intervention. This distinction prevents a clean dataset from being presented as proof of</w:t>
      </w:r>
    </w:p>
    <w:p>
      <w:pPr>
        <w:widowControl/>
      </w:pPr>
      <w:r>
        <w:rPr>
          <w:rFonts w:ascii="Liberation Sans" w:hAnsi="Liberation Sans"/>
        </w:rPr>
        <w:t>causation.</w:t>
      </w:r>
    </w:p>
    <w:p>
      <w:pPr>
        <w:pStyle w:val="Heading2"/>
        <w:keepNext/>
      </w:pPr>
      <w:r>
        <w:rPr>
          <w:rFonts w:ascii="Liberation Sans" w:hAnsi="Liberation Sans"/>
        </w:rPr>
        <w:t>Constrained Marginal Response Regression</w:t>
      </w:r>
    </w:p>
    <w:p>
      <w:pPr>
        <w:widowControl/>
      </w:pPr>
      <w:r>
        <w:rPr>
          <w:rFonts w:ascii="Liberation Sans" w:hAnsi="Liberation Sans"/>
        </w:rPr>
        <w:t>The first estimator should model how generation technologies and connected zones respond to changes in French net load while controlling for pre-decision conditions. Physical constraints can regularize the estimates. Total marginal response should approximately balance the demand change, subject to storage, losses, and imports. Sign and monotonicity assumptions must be tested by regime rather than imposed blindly.</w:t>
      </w:r>
    </w:p>
    <w:p>
      <w:pPr>
        <w:pStyle w:val="Heading2"/>
        <w:keepNext/>
      </w:pPr>
      <w:r>
        <w:rPr>
          <w:rFonts w:ascii="Liberation Sans" w:hAnsi="Liberation Sans"/>
        </w:rPr>
        <w:t>Double Machine Learning</w:t>
      </w:r>
    </w:p>
    <w:p>
      <w:pPr>
        <w:widowControl/>
      </w:pPr>
      <w:r>
        <w:rPr>
          <w:rFonts w:ascii="Liberation Sans" w:hAnsi="Liberation Sans"/>
        </w:rPr>
        <w:t>Double or debiased machine learning can estimate a low-dimensional treatment effect while flexible models learn the treatment and outcome nuisance functions. Orthogonal scores reduce sensitivity to nuisance-model error. Time-blocked cross-fitting is required because random folds would leak temporal structure.</w:t>
      </w:r>
    </w:p>
    <w:p>
      <w:pPr>
        <w:widowControl/>
      </w:pPr>
      <w:r>
        <w:rPr>
          <w:rFonts w:ascii="Liberation Sans" w:hAnsi="Liberation Sans"/>
        </w:rPr>
        <w:t>Double machine learning does not create identification. Its causal interpretation still depends on the adjustment set, overlap, measurement, and absence of important unobserved confounding.</w:t>
      </w:r>
    </w:p>
    <w:p>
      <w:pPr>
        <w:pStyle w:val="Heading2"/>
        <w:keepNext/>
      </w:pPr>
      <w:r>
        <w:rPr>
          <w:rFonts w:ascii="Liberation Sans" w:hAnsi="Liberation Sans"/>
        </w:rPr>
        <w:t>Structural Dispatch Counterfactual</w:t>
      </w:r>
    </w:p>
    <w:p>
      <w:pPr>
        <w:widowControl/>
      </w:pPr>
      <w:r>
        <w:rPr>
          <w:rFonts w:ascii="Liberation Sans" w:hAnsi="Liberation Sans"/>
        </w:rPr>
        <w:t>A European dispatch or unit-commitment model can simulate the grid with and without the workload. PyPSA-Eur is a suitable open foundation. This approach represents transmission, generator constraints, storage, and cross-border response more directly than a simple statistical proxy.</w:t>
      </w:r>
    </w:p>
    <w:p>
      <w:pPr>
        <w:widowControl/>
      </w:pPr>
      <w:r>
        <w:rPr>
          <w:rFonts w:ascii="Liberation Sans" w:hAnsi="Liberation Sans"/>
        </w:rPr>
        <w:t>The strongest architecture triangulates an econometric estimate, a flexible DML estimate, and a structural dispatch counterfactual. Agreement increases confidence. Disagreement becomes model-risk evidence and may suppress the recommendation.</w:t>
      </w:r>
    </w:p>
    <w:p>
      <w:pPr>
        <w:pStyle w:val="Heading2"/>
        <w:keepNext/>
      </w:pPr>
      <w:r>
        <w:rPr>
          <w:rFonts w:ascii="Liberation Sans" w:hAnsi="Liberation Sans"/>
        </w:rPr>
        <w:t>Falsification And Sensitivity</w:t>
      </w:r>
    </w:p>
    <w:p>
      <w:pPr>
        <w:widowControl/>
      </w:pPr>
      <w:r>
        <w:rPr>
          <w:rFonts w:ascii="Liberation Sans" w:hAnsi="Liberation Sans"/>
        </w:rPr>
        <w:t>Future workload changes should not explain earlier emissions. Lead and placebo tests should therefore be near zero. Negative controls can reveal residual confounding. Omitted-variable sensitivity analysis should report how strong an unmeasured confounder must be to overturn the result. Effects should also be stable across seasons, congestion states, outages, and renewable regimes.</w:t>
      </w:r>
    </w:p>
    <w:p>
      <w:r>
        <w:br w:type="page"/>
      </w:r>
    </w:p>
    <w:p>
      <w:pPr>
        <w:pStyle w:val="Heading2"/>
        <w:keepNext/>
      </w:pPr>
      <w:r>
        <w:rPr>
          <w:rFonts w:ascii="Liberation Sans" w:hAnsi="Liberation Sans"/>
        </w:rPr>
        <w:t>Evidence Tiers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tblHeader w:val="true"/>
          <w:cantSplit/>
        </w:trPr>
        <w:tc>
          <w:tcPr>
            <w:tcW w:type="dxa" w:w="3293"/>
            <w:vAlign w:val="center"/>
            <w:shd w:fill="315A4B"/>
            <w:tcMar>
              <w:top w:w="90" w:type="dxa"/>
              <w:start w:w="110" w:type="dxa"/>
              <w:bottom w:w="90" w:type="dxa"/>
              <w:end w:w="110" w:type="dxa"/>
            </w:tcMar>
          </w:tcPr>
          <w:p>
            <w:pPr>
              <w:jc w:val="center"/>
            </w:pPr>
            <w:r>
              <w:rPr>
                <w:rFonts w:ascii="Liberation Sans" w:hAnsi="Liberation Sans"/>
                <w:b/>
                <w:color w:val="FFFFFF"/>
                <w:sz w:val="18"/>
              </w:rPr>
              <w:t>Tier</w:t>
            </w:r>
          </w:p>
        </w:tc>
        <w:tc>
          <w:tcPr>
            <w:tcW w:type="dxa" w:w="3293"/>
            <w:vAlign w:val="center"/>
            <w:shd w:fill="315A4B"/>
            <w:tcMar>
              <w:top w:w="90" w:type="dxa"/>
              <w:start w:w="110" w:type="dxa"/>
              <w:bottom w:w="90" w:type="dxa"/>
              <w:end w:w="110" w:type="dxa"/>
            </w:tcMar>
          </w:tcPr>
          <w:p>
            <w:pPr>
              <w:jc w:val="center"/>
            </w:pPr>
            <w:r>
              <w:rPr>
                <w:rFonts w:ascii="Liberation Sans" w:hAnsi="Liberation Sans"/>
                <w:b/>
                <w:color w:val="FFFFFF"/>
                <w:sz w:val="18"/>
              </w:rPr>
              <w:t>Meaning</w:t>
            </w:r>
          </w:p>
        </w:tc>
        <w:tc>
          <w:tcPr>
            <w:tcW w:type="dxa" w:w="3293"/>
            <w:vAlign w:val="center"/>
            <w:shd w:fill="315A4B"/>
            <w:tcMar>
              <w:top w:w="90" w:type="dxa"/>
              <w:start w:w="110" w:type="dxa"/>
              <w:bottom w:w="90" w:type="dxa"/>
              <w:end w:w="110" w:type="dxa"/>
            </w:tcMar>
          </w:tcPr>
          <w:p>
            <w:pPr>
              <w:jc w:val="center"/>
            </w:pPr>
            <w:r>
              <w:rPr>
                <w:rFonts w:ascii="Liberation Sans" w:hAnsi="Liberation Sans"/>
                <w:b/>
                <w:color w:val="FFFFFF"/>
                <w:sz w:val="18"/>
              </w:rPr>
              <w:t>Permitted claim</w:t>
            </w:r>
          </w:p>
        </w:tc>
      </w:tr>
      <w:tr>
        <w:trPr>
          <w:cantSplit/>
        </w:trPr>
        <w:tc>
          <w:tcPr>
            <w:tcW w:type="dxa" w:w="3293"/>
            <w:vAlign w:val="center"/>
            <w:tcMar>
              <w:top w:w="90" w:type="dxa"/>
              <w:start w:w="110" w:type="dxa"/>
              <w:bottom w:w="90" w:type="dxa"/>
              <w:end w:w="110" w:type="dxa"/>
            </w:tcMar>
          </w:tcPr>
          <w:p>
            <w:pPr>
              <w:jc w:val="left"/>
            </w:pPr>
            <w:r>
              <w:rPr>
                <w:rFonts w:ascii="Liberation Sans" w:hAnsi="Liberation Sans"/>
                <w:sz w:val="17"/>
              </w:rPr>
              <w:t>Average</w:t>
            </w:r>
          </w:p>
        </w:tc>
        <w:tc>
          <w:tcPr>
            <w:tcW w:type="dxa" w:w="3293"/>
            <w:vAlign w:val="center"/>
            <w:tcMar>
              <w:top w:w="90" w:type="dxa"/>
              <w:start w:w="110" w:type="dxa"/>
              <w:bottom w:w="90" w:type="dxa"/>
              <w:end w:w="110" w:type="dxa"/>
            </w:tcMar>
          </w:tcPr>
          <w:p>
            <w:pPr>
              <w:jc w:val="center"/>
            </w:pPr>
            <w:r>
              <w:rPr>
                <w:rFonts w:ascii="Liberation Sans" w:hAnsi="Liberation Sans"/>
                <w:sz w:val="17"/>
              </w:rPr>
              <w:t>Attributional grid mix</w:t>
            </w:r>
          </w:p>
        </w:tc>
        <w:tc>
          <w:tcPr>
            <w:tcW w:type="dxa" w:w="3293"/>
            <w:vAlign w:val="center"/>
            <w:tcMar>
              <w:top w:w="90" w:type="dxa"/>
              <w:start w:w="110" w:type="dxa"/>
              <w:bottom w:w="90" w:type="dxa"/>
              <w:end w:w="110" w:type="dxa"/>
            </w:tcMar>
          </w:tcPr>
          <w:p>
            <w:pPr>
              <w:jc w:val="left"/>
            </w:pPr>
            <w:r>
              <w:rPr>
                <w:rFonts w:ascii="Liberation Sans" w:hAnsi="Liberation Sans"/>
                <w:sz w:val="17"/>
              </w:rPr>
              <w:t>Average carbon intensity</w:t>
            </w:r>
          </w:p>
        </w:tc>
      </w:tr>
      <w:tr>
        <w:trPr>
          <w:cantSplit/>
        </w:trPr>
        <w:tc>
          <w:tcPr>
            <w:tcW w:type="dxa" w:w="3293"/>
            <w:vAlign w:val="center"/>
            <w:tcMar>
              <w:top w:w="90" w:type="dxa"/>
              <w:start w:w="110" w:type="dxa"/>
              <w:bottom w:w="90" w:type="dxa"/>
              <w:end w:w="110" w:type="dxa"/>
            </w:tcMar>
            <w:shd w:fill="EDF4F1"/>
          </w:tcPr>
          <w:p>
            <w:pPr>
              <w:jc w:val="left"/>
            </w:pPr>
            <w:r>
              <w:rPr>
                <w:rFonts w:ascii="Liberation Sans" w:hAnsi="Liberation Sans"/>
                <w:sz w:val="17"/>
              </w:rPr>
              <w:t>Proxy</w:t>
            </w:r>
          </w:p>
        </w:tc>
        <w:tc>
          <w:tcPr>
            <w:tcW w:type="dxa" w:w="3293"/>
            <w:vAlign w:val="center"/>
            <w:tcMar>
              <w:top w:w="90" w:type="dxa"/>
              <w:start w:w="110" w:type="dxa"/>
              <w:bottom w:w="90" w:type="dxa"/>
              <w:end w:w="110" w:type="dxa"/>
            </w:tcMar>
            <w:shd w:fill="EDF4F1"/>
          </w:tcPr>
          <w:p>
            <w:pPr>
              <w:jc w:val="left"/>
            </w:pPr>
            <w:r>
              <w:rPr>
                <w:rFonts w:ascii="Liberation Sans" w:hAnsi="Liberation Sans"/>
                <w:sz w:val="17"/>
              </w:rPr>
              <w:t>Marginal response heuristic</w:t>
            </w:r>
          </w:p>
        </w:tc>
        <w:tc>
          <w:tcPr>
            <w:tcW w:type="dxa" w:w="3293"/>
            <w:vAlign w:val="center"/>
            <w:tcMar>
              <w:top w:w="90" w:type="dxa"/>
              <w:start w:w="110" w:type="dxa"/>
              <w:bottom w:w="90" w:type="dxa"/>
              <w:end w:w="110" w:type="dxa"/>
            </w:tcMar>
            <w:shd w:fill="EDF4F1"/>
          </w:tcPr>
          <w:p>
            <w:pPr>
              <w:jc w:val="left"/>
            </w:pPr>
            <w:r>
              <w:rPr>
                <w:rFonts w:ascii="Liberation Sans" w:hAnsi="Liberation Sans"/>
                <w:sz w:val="17"/>
              </w:rPr>
              <w:t>Proxy-adjusted recommendation</w:t>
            </w:r>
          </w:p>
        </w:tc>
      </w:tr>
      <w:tr>
        <w:trPr>
          <w:cantSplit/>
        </w:trPr>
        <w:tc>
          <w:tcPr>
            <w:tcW w:type="dxa" w:w="3293"/>
            <w:vAlign w:val="center"/>
            <w:tcMar>
              <w:top w:w="90" w:type="dxa"/>
              <w:start w:w="110" w:type="dxa"/>
              <w:bottom w:w="90" w:type="dxa"/>
              <w:end w:w="110" w:type="dxa"/>
            </w:tcMar>
          </w:tcPr>
          <w:p>
            <w:pPr>
              <w:jc w:val="left"/>
            </w:pPr>
            <w:r>
              <w:rPr>
                <w:rFonts w:ascii="Liberation Sans" w:hAnsi="Liberation Sans"/>
                <w:sz w:val="17"/>
              </w:rPr>
              <w:t>Observational causal</w:t>
            </w:r>
          </w:p>
        </w:tc>
        <w:tc>
          <w:tcPr>
            <w:tcW w:type="dxa" w:w="3293"/>
            <w:vAlign w:val="center"/>
            <w:tcMar>
              <w:top w:w="90" w:type="dxa"/>
              <w:start w:w="110" w:type="dxa"/>
              <w:bottom w:w="90" w:type="dxa"/>
              <w:end w:w="110" w:type="dxa"/>
            </w:tcMar>
          </w:tcPr>
          <w:p>
            <w:pPr>
              <w:jc w:val="left"/>
            </w:pPr>
            <w:r>
              <w:rPr>
                <w:rFonts w:ascii="Liberation Sans" w:hAnsi="Liberation Sans"/>
                <w:sz w:val="17"/>
              </w:rPr>
              <w:t>Identified estimator with diagnostics</w:t>
            </w:r>
          </w:p>
        </w:tc>
        <w:tc>
          <w:tcPr>
            <w:tcW w:type="dxa" w:w="3293"/>
            <w:vAlign w:val="center"/>
            <w:tcMar>
              <w:top w:w="90" w:type="dxa"/>
              <w:start w:w="110" w:type="dxa"/>
              <w:bottom w:w="90" w:type="dxa"/>
              <w:end w:w="110" w:type="dxa"/>
            </w:tcMar>
          </w:tcPr>
          <w:p>
            <w:pPr>
              <w:jc w:val="left"/>
            </w:pPr>
            <w:r>
              <w:rPr>
                <w:rFonts w:ascii="Liberation Sans" w:hAnsi="Liberation Sans"/>
                <w:sz w:val="17"/>
              </w:rPr>
              <w:t>Estimated short-run effect under stated assumptions</w:t>
            </w:r>
          </w:p>
        </w:tc>
      </w:tr>
      <w:tr>
        <w:trPr>
          <w:cantSplit/>
        </w:trPr>
        <w:tc>
          <w:tcPr>
            <w:tcW w:type="dxa" w:w="3293"/>
            <w:vAlign w:val="center"/>
            <w:tcMar>
              <w:top w:w="90" w:type="dxa"/>
              <w:start w:w="110" w:type="dxa"/>
              <w:bottom w:w="90" w:type="dxa"/>
              <w:end w:w="110" w:type="dxa"/>
            </w:tcMar>
            <w:shd w:fill="EDF4F1"/>
          </w:tcPr>
          <w:p>
            <w:pPr>
              <w:jc w:val="left"/>
            </w:pPr>
            <w:r>
              <w:rPr>
                <w:rFonts w:ascii="Liberation Sans" w:hAnsi="Liberation Sans"/>
                <w:sz w:val="17"/>
              </w:rPr>
              <w:t>Structural</w:t>
            </w:r>
          </w:p>
        </w:tc>
        <w:tc>
          <w:tcPr>
            <w:tcW w:type="dxa" w:w="3293"/>
            <w:vAlign w:val="center"/>
            <w:tcMar>
              <w:top w:w="90" w:type="dxa"/>
              <w:start w:w="110" w:type="dxa"/>
              <w:bottom w:w="90" w:type="dxa"/>
              <w:end w:w="110" w:type="dxa"/>
            </w:tcMar>
            <w:shd w:fill="EDF4F1"/>
          </w:tcPr>
          <w:p>
            <w:pPr>
              <w:jc w:val="left"/>
            </w:pPr>
            <w:r>
              <w:rPr>
                <w:rFonts w:ascii="Liberation Sans" w:hAnsi="Liberation Sans"/>
                <w:sz w:val="17"/>
              </w:rPr>
              <w:t>Calibrated dispatch counterfactual</w:t>
            </w:r>
          </w:p>
        </w:tc>
        <w:tc>
          <w:tcPr>
            <w:tcW w:type="dxa" w:w="3293"/>
            <w:vAlign w:val="center"/>
            <w:tcMar>
              <w:top w:w="90" w:type="dxa"/>
              <w:start w:w="110" w:type="dxa"/>
              <w:bottom w:w="90" w:type="dxa"/>
              <w:end w:w="110" w:type="dxa"/>
            </w:tcMar>
            <w:shd w:fill="EDF4F1"/>
          </w:tcPr>
          <w:p>
            <w:pPr>
              <w:jc w:val="left"/>
            </w:pPr>
            <w:r>
              <w:rPr>
                <w:rFonts w:ascii="Liberation Sans" w:hAnsi="Liberation Sans"/>
                <w:sz w:val="17"/>
              </w:rPr>
              <w:t>Simulated effect under model assumptions</w:t>
            </w:r>
          </w:p>
        </w:tc>
      </w:tr>
      <w:tr>
        <w:trPr>
          <w:cantSplit/>
        </w:trPr>
        <w:tc>
          <w:tcPr>
            <w:tcW w:type="dxa" w:w="3293"/>
            <w:vAlign w:val="center"/>
            <w:tcMar>
              <w:top w:w="90" w:type="dxa"/>
              <w:start w:w="110" w:type="dxa"/>
              <w:bottom w:w="90" w:type="dxa"/>
              <w:end w:w="110" w:type="dxa"/>
            </w:tcMar>
          </w:tcPr>
          <w:p>
            <w:pPr>
              <w:jc w:val="left"/>
            </w:pPr>
            <w:r>
              <w:rPr>
                <w:rFonts w:ascii="Liberation Sans" w:hAnsi="Liberation Sans"/>
                <w:sz w:val="17"/>
              </w:rPr>
              <w:t>Validated</w:t>
            </w:r>
          </w:p>
        </w:tc>
        <w:tc>
          <w:tcPr>
            <w:tcW w:type="dxa" w:w="3293"/>
            <w:vAlign w:val="center"/>
            <w:tcMar>
              <w:top w:w="90" w:type="dxa"/>
              <w:start w:w="110" w:type="dxa"/>
              <w:bottom w:w="90" w:type="dxa"/>
              <w:end w:w="110" w:type="dxa"/>
            </w:tcMar>
          </w:tcPr>
          <w:p>
            <w:pPr>
              <w:jc w:val="left"/>
            </w:pPr>
            <w:r>
              <w:rPr>
                <w:rFonts w:ascii="Liberation Sans" w:hAnsi="Liberation Sans"/>
                <w:sz w:val="17"/>
              </w:rPr>
              <w:t>Triangulated and operationally audited</w:t>
            </w:r>
          </w:p>
        </w:tc>
        <w:tc>
          <w:tcPr>
            <w:tcW w:type="dxa" w:w="3293"/>
            <w:vAlign w:val="center"/>
            <w:tcMar>
              <w:top w:w="90" w:type="dxa"/>
              <w:start w:w="110" w:type="dxa"/>
              <w:bottom w:w="90" w:type="dxa"/>
              <w:end w:w="110" w:type="dxa"/>
            </w:tcMar>
          </w:tcPr>
          <w:p>
            <w:pPr>
              <w:jc w:val="left"/>
            </w:pPr>
            <w:r>
              <w:rPr>
                <w:rFonts w:ascii="Liberation Sans" w:hAnsi="Liberation Sans"/>
                <w:sz w:val="17"/>
              </w:rPr>
              <w:t>Production causal recommendation with uncertainty</w:t>
            </w:r>
          </w:p>
        </w:tc>
      </w:tr>
    </w:tbl>
    <w:p>
      <w:pPr>
        <w:spacing w:after="20"/>
      </w:pPr>
    </w:p>
    <w:p>
      <w:pPr>
        <w:pStyle w:val="Heading1"/>
        <w:keepNext/>
      </w:pPr>
      <w:r>
        <w:rPr>
          <w:rFonts w:ascii="Liberation Sans" w:hAnsi="Liberation Sans"/>
        </w:rPr>
        <w:t>Chapter 14 Production Orchestration</w:t>
      </w:r>
    </w:p>
    <w:p>
      <w:pPr>
        <w:pStyle w:val="Heading2"/>
        <w:keepNext/>
      </w:pPr>
      <w:r>
        <w:rPr>
          <w:rFonts w:ascii="Liberation Sans" w:hAnsi="Liberation Sans"/>
        </w:rPr>
        <w:t>Daily Modular Workflow</w:t>
      </w:r>
    </w:p>
    <w:p>
      <w:pPr>
        <w:widowControl/>
      </w:pPr>
      <w:r>
        <w:rPr>
          <w:rFonts w:ascii="Liberation Sans" w:hAnsi="Liberation Sans"/>
        </w:rPr>
        <w:t>The GitHub workflow separates ingestion, monitoring, optional retraining, publishing, and deployment. This avoids repeating a long retraining job when only a later publishing step fails.</w:t>
      </w:r>
    </w:p>
    <w:p>
      <w:pPr>
        <w:spacing w:before="80" w:after="140" w:line="240" w:lineRule="auto"/>
        <w:ind w:left="403" w:right="403"/>
        <w:shd w:fill="F3F5F4"/>
      </w:pPr>
      <w:r>
        <w:rPr>
          <w:rFonts w:ascii="Liberation Mono" w:hAnsi="Liberation Mono"/>
          <w:sz w:val="17"/>
        </w:rPr>
        <w:t>ingest</w:t>
        <w:br/>
        <w:t xml:space="preserve">  -&gt; preflight monitoring</w:t>
        <w:br/>
        <w:t xml:space="preserve">  -&gt; retrain only when required</w:t>
        <w:br/>
        <w:t xml:space="preserve">  -&gt; publish recommendations and dashboard</w:t>
        <w:br/>
        <w:t xml:space="preserve">  -&gt; deploy</w:t>
      </w:r>
    </w:p>
    <w:p>
      <w:pPr>
        <w:widowControl/>
      </w:pPr>
      <w:r>
        <w:rPr>
          <w:rFonts w:ascii="Liberation Sans" w:hAnsi="Liberation Sans"/>
        </w:rPr>
        <w:t>GitHub cron uses UTC and may start late. The workflow proceeds whenever GitHub starts it instead of rejecting the run because a local-time guard was missed.</w:t>
      </w:r>
    </w:p>
    <w:p>
      <w:pPr>
        <w:pStyle w:val="Heading2"/>
        <w:keepNext/>
      </w:pPr>
      <w:r>
        <w:rPr>
          <w:rFonts w:ascii="Liberation Sans" w:hAnsi="Liberation Sans"/>
        </w:rPr>
        <w:t>Retraining Decision</w:t>
      </w:r>
    </w:p>
    <w:p>
      <w:pPr>
        <w:widowControl/>
      </w:pPr>
      <w:r>
        <w:rPr>
          <w:rFonts w:ascii="Liberation Sans" w:hAnsi="Liberation Sans"/>
        </w:rPr>
        <w:t>Preflight monitoring requests retraining when model artifacts are missing or monitoring reports material degradation. Otherwise, the workflow reuses the current champion and refreshes only future data, recommendations, monitoring, and the dashboard.</w:t>
      </w:r>
    </w:p>
    <w:p>
      <w:pPr>
        <w:pStyle w:val="Heading2"/>
        <w:keepNext/>
      </w:pPr>
      <w:r>
        <w:rPr>
          <w:rFonts w:ascii="Liberation Sans" w:hAnsi="Liberation Sans"/>
        </w:rPr>
        <w:t>Promotion Gate</w:t>
      </w:r>
    </w:p>
    <w:p>
      <w:pPr>
        <w:widowControl/>
      </w:pPr>
      <w:r>
        <w:rPr>
          <w:rFonts w:ascii="Liberation Sans" w:hAnsi="Liberation Sans"/>
        </w:rPr>
        <w:t>Before retraining, the system snapshots production artifacts. A candidate trains separately. It is promoted only if its weighted lower-is-better score beats the incumbent and guarded regret metrics remain acceptable. A failed or rejected candidate restores the incumbent snapshot.</w:t>
      </w:r>
    </w:p>
    <w:p>
      <w:pPr>
        <w:widowControl/>
      </w:pPr>
      <w:r>
        <w:rPr>
          <w:rFonts w:ascii="Liberation Sans" w:hAnsi="Liberation Sans"/>
        </w:rPr>
        <w:t>Settled operational outcomes are advisory until enough decision days exist. After the minimum evidence threshold, poor top-five hit rate or excessive carbon regret can block promotion.</w:t>
      </w:r>
    </w:p>
    <w:p>
      <w:pPr>
        <w:widowControl/>
      </w:pPr>
      <w:r>
        <w:rPr>
          <w:rFonts w:ascii="Liberation Sans" w:hAnsi="Liberation Sans"/>
        </w:rPr>
        <w:t>Analogy: a football team does not replace its starting goalkeeper because a new player performed well in one drill. The candidate must improve the relevant match outcomes and must not fail critical safety checks.</w:t>
      </w:r>
    </w:p>
    <w:p>
      <w:pPr>
        <w:pStyle w:val="Heading1"/>
        <w:keepNext/>
      </w:pPr>
      <w:r>
        <w:rPr>
          <w:rFonts w:ascii="Liberation Sans" w:hAnsi="Liberation Sans"/>
        </w:rPr>
        <w:t>Chapter 15 Dashboard Interpretation</w:t>
      </w:r>
    </w:p>
    <w:p>
      <w:pPr>
        <w:pStyle w:val="Heading2"/>
        <w:keepNext/>
      </w:pPr>
      <w:r>
        <w:rPr>
          <w:rFonts w:ascii="Liberation Sans" w:hAnsi="Liberation Sans"/>
        </w:rPr>
        <w:t>Trust And Freshness</w:t>
      </w:r>
    </w:p>
    <w:p>
      <w:pPr>
        <w:widowControl/>
      </w:pPr>
      <w:r>
        <w:rPr>
          <w:rFonts w:ascii="Liberation Sans" w:hAnsi="Liberation Sans"/>
        </w:rPr>
        <w:t>The dashboard combines pipeline health, forecast monitoring, operational audit readiness, generation time, and the active reference hour. A recommendation without fresh data should not look equivalent to one built from current inputs.</w:t>
      </w:r>
    </w:p>
    <w:p>
      <w:pPr>
        <w:pStyle w:val="Heading2"/>
        <w:keepNext/>
      </w:pPr>
      <w:r>
        <w:rPr>
          <w:rFonts w:ascii="Liberation Sans" w:hAnsi="Liberation Sans"/>
        </w:rPr>
        <w:t>Scenario And Basis</w:t>
      </w:r>
    </w:p>
    <w:p>
      <w:pPr>
        <w:widowControl/>
      </w:pPr>
      <w:r>
        <w:rPr>
          <w:rFonts w:ascii="Liberation Sans" w:hAnsi="Liberation Sans"/>
        </w:rPr>
        <w:t>Scenario changes the price-carbon preference. Basis changes the carbon concept. The standard basis uses average-carbon rankings. The current causal-adjusted MVP uses the marginal-emissions proxy. Scenario-aware causal artifacts ensure both selectors affect the recommendation list.</w:t>
      </w:r>
    </w:p>
    <w:p>
      <w:pPr>
        <w:pStyle w:val="Heading2"/>
        <w:keepNext/>
      </w:pPr>
      <w:r>
        <w:rPr>
          <w:rFonts w:ascii="Liberation Sans" w:hAnsi="Liberation Sans"/>
        </w:rPr>
        <w:t>Carbon Saving Reference</w:t>
      </w:r>
    </w:p>
    <w:p>
      <w:pPr>
        <w:widowControl/>
      </w:pPr>
      <w:r>
        <w:rPr>
          <w:rFonts w:ascii="Liberation Sans" w:hAnsi="Liberation Sans"/>
        </w:rPr>
        <w:t>Carbon saving must name its comparison timestamp. The current-reference field is preferable to a vague run-now label. Once the planned-start input is connected, that user value will override dashboard access time.</w:t>
      </w:r>
    </w:p>
    <w:p>
      <w:pPr>
        <w:pStyle w:val="Heading2"/>
        <w:keepNext/>
      </w:pPr>
      <w:r>
        <w:rPr>
          <w:rFonts w:ascii="Liberation Sans" w:hAnsi="Liberation Sans"/>
        </w:rPr>
        <w:t>Previous Day Audit</w:t>
      </w:r>
    </w:p>
    <w:p>
      <w:pPr>
        <w:widowControl/>
      </w:pPr>
      <w:r>
        <w:rPr>
          <w:rFonts w:ascii="Liberation Sans" w:hAnsi="Liberation Sans"/>
        </w:rPr>
        <w:t>The audit view should answer four questions. What did the system recommend? What actually happened? Where did the recommended hour rank after outcomes settled? How much regret or saving resulted relative to the baseline and actual optimum?</w:t>
      </w:r>
    </w:p>
    <w:p>
      <w:pPr>
        <w:pStyle w:val="Heading1"/>
        <w:keepNext/>
      </w:pPr>
      <w:r>
        <w:rPr>
          <w:rFonts w:ascii="Liberation Sans" w:hAnsi="Liberation Sans"/>
        </w:rPr>
        <w:t>Chapter 16 Limitations And Honest Claims</w:t>
      </w:r>
    </w:p>
    <w:p>
      <w:pPr>
        <w:pStyle w:val="Heading2"/>
        <w:keepNext/>
      </w:pPr>
      <w:r>
        <w:rPr>
          <w:rFonts w:ascii="Liberation Sans" w:hAnsi="Liberation Sans"/>
        </w:rPr>
        <w:t>Current Limitations</w:t>
      </w:r>
    </w:p>
    <w:p>
      <w:pPr>
        <w:pStyle w:val="ListBullet"/>
        <w:widowControl/>
      </w:pPr>
      <w:r>
        <w:rPr>
          <w:rFonts w:ascii="Liberation Sans" w:hAnsi="Liberation Sans"/>
        </w:rPr>
        <w:t>Scheduled cloud ingestion primarily stores national France electricity data, so regional claims are not yet supported by the operational path.</w:t>
      </w:r>
    </w:p>
    <w:p>
      <w:pPr>
        <w:pStyle w:val="ListBullet"/>
        <w:widowControl/>
      </w:pPr>
      <w:r>
        <w:rPr>
          <w:rFonts w:ascii="Liberation Sans" w:hAnsi="Liberation Sans"/>
        </w:rPr>
        <w:t>The marginal-emissions method is a proxy based on generation changes, not an identified treatment effect.</w:t>
      </w:r>
    </w:p>
    <w:p>
      <w:pPr>
        <w:pStyle w:val="ListBullet"/>
        <w:widowControl/>
      </w:pPr>
      <w:r>
        <w:rPr>
          <w:rFonts w:ascii="Liberation Sans" w:hAnsi="Liberation Sans"/>
        </w:rPr>
        <w:t>Cross-border and balancing data are not yet fully represented in the causal estimator.</w:t>
      </w:r>
    </w:p>
    <w:p>
      <w:pPr>
        <w:pStyle w:val="ListBullet"/>
        <w:widowControl/>
      </w:pPr>
      <w:r>
        <w:rPr>
          <w:rFonts w:ascii="Liberation Sans" w:hAnsi="Liberation Sans"/>
        </w:rPr>
        <w:t>Confidence calibration is limited by the number and diversity of settled historical recommendations.</w:t>
      </w:r>
    </w:p>
    <w:p>
      <w:pPr>
        <w:pStyle w:val="ListBullet"/>
        <w:widowControl/>
      </w:pPr>
      <w:r>
        <w:rPr>
          <w:rFonts w:ascii="Liberation Sans" w:hAnsi="Liberation Sans"/>
        </w:rPr>
        <w:t>Forecasts can fail during rare negative-price events, outages, and regime changes.</w:t>
      </w:r>
    </w:p>
    <w:p>
      <w:pPr>
        <w:pStyle w:val="ListBullet"/>
        <w:widowControl/>
      </w:pPr>
      <w:r>
        <w:rPr>
          <w:rFonts w:ascii="Liberation Sans" w:hAnsi="Liberation Sans"/>
        </w:rPr>
        <w:t>A normalized one MWh result may not scale linearly to a large battery or data-centre shift.</w:t>
      </w:r>
    </w:p>
    <w:p>
      <w:pPr>
        <w:pStyle w:val="ListBullet"/>
        <w:widowControl/>
      </w:pPr>
      <w:r>
        <w:rPr>
          <w:rFonts w:ascii="Liberation Sans" w:hAnsi="Liberation Sans"/>
        </w:rPr>
        <w:t>User compliance and actual workload telemetry are not yet available, so the product effect is not identified.</w:t>
      </w:r>
    </w:p>
    <w:p>
      <w:pPr>
        <w:pStyle w:val="Heading2"/>
        <w:keepNext/>
      </w:pPr>
      <w:r>
        <w:rPr>
          <w:rFonts w:ascii="Liberation Sans" w:hAnsi="Liberation Sans"/>
        </w:rPr>
        <w:t>Claims We Can Defend Today</w:t>
      </w:r>
    </w:p>
    <w:p>
      <w:pPr>
        <w:widowControl/>
      </w:pPr>
      <w:r>
        <w:rPr>
          <w:rFonts w:ascii="Liberation Sans" w:hAnsi="Liberation Sans"/>
        </w:rPr>
        <w:t>We can say that the platform produces leakage-aware, uncertainty-guarded, scenario-specific workload recommendations and evaluates them with ranking metrics and realized regret. We can say that it compares average-carbon rankings with a marginal-emissions proxy. We can say that the causal estimand and DAG are explicitly defined and validated as a design contract.</w:t>
      </w:r>
    </w:p>
    <w:p>
      <w:pPr>
        <w:widowControl/>
      </w:pPr>
      <w:r>
        <w:rPr>
          <w:rFonts w:ascii="Liberation Sans" w:hAnsi="Liberation Sans"/>
        </w:rPr>
        <w:t>We should not yet say that the dashboard proves the workload caused a specific emissions reduction. That claim requires the identified estimator, cross-border data, uncertainty interval, and validation described in Chapter 13.</w:t>
      </w:r>
    </w:p>
    <w:p>
      <w:pPr>
        <w:pStyle w:val="Heading1"/>
        <w:keepNext/>
      </w:pPr>
      <w:r>
        <w:rPr>
          <w:rFonts w:ascii="Liberation Sans" w:hAnsi="Liberation Sans"/>
        </w:rPr>
        <w:t>Chapter 17 Interview Questions And Answers</w:t>
      </w:r>
    </w:p>
    <w:p>
      <w:pPr>
        <w:pStyle w:val="Heading2"/>
        <w:keepNext/>
      </w:pPr>
      <w:r>
        <w:rPr>
          <w:rFonts w:ascii="Liberation Sans" w:hAnsi="Liberation Sans"/>
        </w:rPr>
        <w:t>Why Did You Optimize Ranking Instead Of Only MAE</w:t>
      </w:r>
    </w:p>
    <w:p>
      <w:pPr>
        <w:widowControl/>
      </w:pPr>
      <w:r>
        <w:rPr>
          <w:rFonts w:ascii="Liberation Sans" w:hAnsi="Liberation Sans"/>
        </w:rPr>
        <w:t>The product chooses an hour. MAE measures numerical forecast error across all hours, but it does not guarantee that the best hours are ordered correctly. I therefore retained MAE as a diagnostic and selected models using regret, carbon regret, pairwise ranking loss, top-five quality, direction accuracy, and carbon error. This aligns model selection with the user's decision.</w:t>
      </w:r>
    </w:p>
    <w:p>
      <w:pPr>
        <w:pStyle w:val="Heading2"/>
        <w:keepNext/>
      </w:pPr>
      <w:r>
        <w:rPr>
          <w:rFonts w:ascii="Liberation Sans" w:hAnsi="Liberation Sans"/>
        </w:rPr>
        <w:t>What Is Recommendation Regret</w:t>
      </w:r>
    </w:p>
    <w:p>
      <w:pPr>
        <w:widowControl/>
      </w:pPr>
      <w:r>
        <w:rPr>
          <w:rFonts w:ascii="Liberation Sans" w:hAnsi="Liberation Sans"/>
        </w:rPr>
        <w:t>Regret is the realized loss from choosing the recommended hour instead of the best feasible hour after actual outcomes are known. It translates model quality into decision cost. Carbon regret and cost regret show which objective was missed.</w:t>
      </w:r>
    </w:p>
    <w:p>
      <w:pPr>
        <w:pStyle w:val="Heading2"/>
        <w:keepNext/>
      </w:pPr>
      <w:r>
        <w:rPr>
          <w:rFonts w:ascii="Liberation Sans" w:hAnsi="Liberation Sans"/>
        </w:rPr>
        <w:t>How Did You Prevent Leakage</w:t>
      </w:r>
    </w:p>
    <w:p>
      <w:pPr>
        <w:widowControl/>
      </w:pPr>
      <w:r>
        <w:rPr>
          <w:rFonts w:ascii="Liberation Sans" w:hAnsi="Liberation Sans"/>
        </w:rPr>
        <w:t>Strict forecasters use calendar features, lagged and rolling historical values, upstream forecasts, and future exogenous values available at forecast time. Realized contemporaneous electricity variables are preserved for causal analysis and auditing but excluded from strict forecasting. Validation uses expanding time windows rather than random splits.</w:t>
      </w:r>
    </w:p>
    <w:p>
      <w:pPr>
        <w:pStyle w:val="Heading2"/>
        <w:keepNext/>
      </w:pPr>
      <w:r>
        <w:rPr>
          <w:rFonts w:ascii="Liberation Sans" w:hAnsi="Liberation Sans"/>
        </w:rPr>
        <w:t>Why Use Top Five Recommendations</w:t>
      </w:r>
    </w:p>
    <w:p>
      <w:pPr>
        <w:widowControl/>
      </w:pPr>
      <w:r>
        <w:rPr>
          <w:rFonts w:ascii="Liberation Sans" w:hAnsi="Liberation Sans"/>
        </w:rPr>
        <w:t>A single recommendation is brittle and may conflict with user constraints that the system does not know. A top-five list preserves useful alternatives, supports user choice, and allows top-k capture evaluation. The rank-one option remains auditable.</w:t>
      </w:r>
    </w:p>
    <w:p>
      <w:pPr>
        <w:pStyle w:val="Heading2"/>
        <w:keepNext/>
      </w:pPr>
      <w:r>
        <w:rPr>
          <w:rFonts w:ascii="Liberation Sans" w:hAnsi="Liberation Sans"/>
        </w:rPr>
        <w:t>How Is Confidence Calculated</w:t>
      </w:r>
    </w:p>
    <w:p>
      <w:pPr>
        <w:widowControl/>
      </w:pPr>
      <w:r>
        <w:rPr>
          <w:rFonts w:ascii="Liberation Sans" w:hAnsi="Liberation Sans"/>
        </w:rPr>
        <w:t>The initial score combines rank, separation from nearby candidates, and agreement across models. Historical calibration then maps confidence bins to observed top-five hit rates and regret. Minimum row thresholds prevent small samples from producing overconfident scores.</w:t>
      </w:r>
    </w:p>
    <w:p>
      <w:pPr>
        <w:pStyle w:val="Heading2"/>
        <w:keepNext/>
      </w:pPr>
      <w:r>
        <w:rPr>
          <w:rFonts w:ascii="Liberation Sans" w:hAnsi="Liberation Sans"/>
        </w:rPr>
        <w:t>What Is The Difference Between Average And Marginal Carbon</w:t>
      </w:r>
    </w:p>
    <w:p>
      <w:pPr>
        <w:widowControl/>
      </w:pPr>
      <w:r>
        <w:rPr>
          <w:rFonts w:ascii="Liberation Sans" w:hAnsi="Liberation Sans"/>
        </w:rPr>
        <w:t>Average carbon describes the whole generation mix. Marginal carbon describes the resources that respond to an incremental demand change. Workload shifting is a consequential decision, so marginal carbon is conceptually closer to the question. The current implementation is explicitly labeled as a proxy because observed generation changes are not automatically caused by load.</w:t>
      </w:r>
    </w:p>
    <w:p>
      <w:pPr>
        <w:pStyle w:val="Heading2"/>
        <w:keepNext/>
      </w:pPr>
      <w:r>
        <w:rPr>
          <w:rFonts w:ascii="Liberation Sans" w:hAnsi="Liberation Sans"/>
        </w:rPr>
        <w:t>What Makes A Causal Estimate Credible</w:t>
      </w:r>
    </w:p>
    <w:p>
      <w:pPr>
        <w:widowControl/>
      </w:pPr>
      <w:r>
        <w:rPr>
          <w:rFonts w:ascii="Liberation Sans" w:hAnsi="Liberation Sans"/>
        </w:rPr>
        <w:t>A credible estimate starts with a precise intervention, comparator, outcome, population, time horizon, and spatial boundary. It requires a defensible DAG and pre-treatment adjustment set, overlap, uncertainty intervals, placebo tests, sensitivity analysis, and validation against another method or experiment. A sophisticated algorithm cannot replace identification.</w:t>
      </w:r>
    </w:p>
    <w:p>
      <w:pPr>
        <w:pStyle w:val="Heading2"/>
        <w:keepNext/>
      </w:pPr>
      <w:r>
        <w:rPr>
          <w:rFonts w:ascii="Liberation Sans" w:hAnsi="Liberation Sans"/>
        </w:rPr>
        <w:t>Why Include Interconnected European Zones</w:t>
      </w:r>
    </w:p>
    <w:p>
      <w:pPr>
        <w:widowControl/>
      </w:pPr>
      <w:r>
        <w:rPr>
          <w:rFonts w:ascii="Liberation Sans" w:hAnsi="Liberation Sans"/>
        </w:rPr>
        <w:t>An incremental French workload can change imports and exports. Measuring only French domestic generation could move emissions outside the boundary rather than eliminate them. The causal outcome therefore covers France and responding connected zones.</w:t>
      </w:r>
    </w:p>
    <w:p>
      <w:pPr>
        <w:pStyle w:val="Heading2"/>
        <w:keepNext/>
      </w:pPr>
      <w:r>
        <w:rPr>
          <w:rFonts w:ascii="Liberation Sans" w:hAnsi="Liberation Sans"/>
        </w:rPr>
        <w:t>How Do You Decide Whether To Retrain</w:t>
      </w:r>
    </w:p>
    <w:p>
      <w:pPr>
        <w:widowControl/>
      </w:pPr>
      <w:r>
        <w:rPr>
          <w:rFonts w:ascii="Liberation Sans" w:hAnsi="Liberation Sans"/>
        </w:rPr>
        <w:t>The daily process first checks freshness and recent operational performance. Retraining occurs only when monitoring recommends it or required model artifacts are missing. A candidate must pass a promotion gate against the incumbent. This reduces compute and prevents a bad retrain from replacing a working production model.</w:t>
      </w:r>
    </w:p>
    <w:p>
      <w:pPr>
        <w:pStyle w:val="Heading2"/>
        <w:keepNext/>
      </w:pPr>
      <w:r>
        <w:rPr>
          <w:rFonts w:ascii="Liberation Sans" w:hAnsi="Liberation Sans"/>
        </w:rPr>
        <w:t>How Would You Validate The Product Effect</w:t>
      </w:r>
    </w:p>
    <w:p>
      <w:pPr>
        <w:widowControl/>
      </w:pPr>
      <w:r>
        <w:rPr>
          <w:rFonts w:ascii="Liberation Sans" w:hAnsi="Liberation Sans"/>
        </w:rPr>
        <w:t>I would log recommendation exposure, accepted hour, actual workload energy, duration, user constraints, and completion. For near-tied safe hours, randomized encouragement can create stronger evidence about acceptance and realized shifting. Grid emissions attribution would still use the identified grid-effect estimator because a single small workload is difficult to detect directly in national emissions.</w:t>
      </w:r>
    </w:p>
    <w:p>
      <w:pPr>
        <w:pStyle w:val="Heading1"/>
        <w:keepNext/>
      </w:pPr>
      <w:r>
        <w:rPr>
          <w:rFonts w:ascii="Liberation Sans" w:hAnsi="Liberation Sans"/>
        </w:rPr>
        <w:t>Glossary</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val="true"/>
          <w:cantSplit/>
        </w:trPr>
        <w:tc>
          <w:tcPr>
            <w:tcW w:type="dxa" w:w="4939"/>
            <w:vAlign w:val="center"/>
            <w:shd w:fill="315A4B"/>
            <w:tcMar>
              <w:top w:w="90" w:type="dxa"/>
              <w:start w:w="110" w:type="dxa"/>
              <w:bottom w:w="90" w:type="dxa"/>
              <w:end w:w="110" w:type="dxa"/>
            </w:tcMar>
          </w:tcPr>
          <w:p>
            <w:pPr>
              <w:jc w:val="center"/>
            </w:pPr>
            <w:r>
              <w:rPr>
                <w:rFonts w:ascii="Liberation Sans" w:hAnsi="Liberation Sans"/>
                <w:b/>
                <w:color w:val="FFFFFF"/>
                <w:sz w:val="18"/>
              </w:rPr>
              <w:t>Term</w:t>
            </w:r>
          </w:p>
        </w:tc>
        <w:tc>
          <w:tcPr>
            <w:tcW w:type="dxa" w:w="4939"/>
            <w:vAlign w:val="center"/>
            <w:shd w:fill="315A4B"/>
            <w:tcMar>
              <w:top w:w="90" w:type="dxa"/>
              <w:start w:w="110" w:type="dxa"/>
              <w:bottom w:w="90" w:type="dxa"/>
              <w:end w:w="110" w:type="dxa"/>
            </w:tcMar>
          </w:tcPr>
          <w:p>
            <w:pPr>
              <w:jc w:val="center"/>
            </w:pPr>
            <w:r>
              <w:rPr>
                <w:rFonts w:ascii="Liberation Sans" w:hAnsi="Liberation Sans"/>
                <w:b/>
                <w:color w:val="FFFFFF"/>
                <w:sz w:val="18"/>
              </w:rPr>
              <w:t>Plain meaning</w:t>
            </w:r>
          </w:p>
        </w:tc>
      </w:tr>
      <w:tr>
        <w:trPr>
          <w:cantSplit/>
        </w:trPr>
        <w:tc>
          <w:tcPr>
            <w:tcW w:type="dxa" w:w="4939"/>
            <w:vAlign w:val="center"/>
            <w:tcMar>
              <w:top w:w="90" w:type="dxa"/>
              <w:start w:w="110" w:type="dxa"/>
              <w:bottom w:w="90" w:type="dxa"/>
              <w:end w:w="110" w:type="dxa"/>
            </w:tcMar>
          </w:tcPr>
          <w:p>
            <w:pPr>
              <w:jc w:val="left"/>
            </w:pPr>
            <w:r>
              <w:rPr>
                <w:rFonts w:ascii="Liberation Sans" w:hAnsi="Liberation Sans"/>
                <w:sz w:val="17"/>
              </w:rPr>
              <w:t>Actual</w:t>
            </w:r>
          </w:p>
        </w:tc>
        <w:tc>
          <w:tcPr>
            <w:tcW w:type="dxa" w:w="4939"/>
            <w:vAlign w:val="center"/>
            <w:tcMar>
              <w:top w:w="90" w:type="dxa"/>
              <w:start w:w="110" w:type="dxa"/>
              <w:bottom w:w="90" w:type="dxa"/>
              <w:end w:w="110" w:type="dxa"/>
            </w:tcMar>
          </w:tcPr>
          <w:p>
            <w:pPr>
              <w:jc w:val="left"/>
            </w:pPr>
            <w:r>
              <w:rPr>
                <w:rFonts w:ascii="Liberation Sans" w:hAnsi="Liberation Sans"/>
                <w:sz w:val="17"/>
              </w:rPr>
              <w:t>Value observed after the hour has occurred</w:t>
            </w:r>
          </w:p>
        </w:tc>
      </w:tr>
      <w:tr>
        <w:trPr>
          <w:cantSplit/>
        </w:trPr>
        <w:tc>
          <w:tcPr>
            <w:tcW w:type="dxa" w:w="4939"/>
            <w:vAlign w:val="center"/>
            <w:tcMar>
              <w:top w:w="90" w:type="dxa"/>
              <w:start w:w="110" w:type="dxa"/>
              <w:bottom w:w="90" w:type="dxa"/>
              <w:end w:w="110" w:type="dxa"/>
            </w:tcMar>
            <w:shd w:fill="EDF4F1"/>
          </w:tcPr>
          <w:p>
            <w:pPr>
              <w:jc w:val="left"/>
            </w:pPr>
            <w:r>
              <w:rPr>
                <w:rFonts w:ascii="Liberation Sans" w:hAnsi="Liberation Sans"/>
                <w:sz w:val="17"/>
              </w:rPr>
              <w:t>Baseline</w:t>
            </w:r>
          </w:p>
        </w:tc>
        <w:tc>
          <w:tcPr>
            <w:tcW w:type="dxa" w:w="4939"/>
            <w:vAlign w:val="center"/>
            <w:tcMar>
              <w:top w:w="90" w:type="dxa"/>
              <w:start w:w="110" w:type="dxa"/>
              <w:bottom w:w="90" w:type="dxa"/>
              <w:end w:w="110" w:type="dxa"/>
            </w:tcMar>
            <w:shd w:fill="EDF4F1"/>
          </w:tcPr>
          <w:p>
            <w:pPr>
              <w:jc w:val="left"/>
            </w:pPr>
            <w:r>
              <w:rPr>
                <w:rFonts w:ascii="Liberation Sans" w:hAnsi="Liberation Sans"/>
                <w:sz w:val="17"/>
              </w:rPr>
              <w:t>Schedule against which a candidate shift is compared</w:t>
            </w:r>
          </w:p>
        </w:tc>
      </w:tr>
      <w:tr>
        <w:trPr>
          <w:cantSplit/>
        </w:trPr>
        <w:tc>
          <w:tcPr>
            <w:tcW w:type="dxa" w:w="4939"/>
            <w:vAlign w:val="center"/>
            <w:tcMar>
              <w:top w:w="90" w:type="dxa"/>
              <w:start w:w="110" w:type="dxa"/>
              <w:bottom w:w="90" w:type="dxa"/>
              <w:end w:w="110" w:type="dxa"/>
            </w:tcMar>
          </w:tcPr>
          <w:p>
            <w:pPr>
              <w:jc w:val="left"/>
            </w:pPr>
            <w:r>
              <w:rPr>
                <w:rFonts w:ascii="Liberation Sans" w:hAnsi="Liberation Sans"/>
                <w:sz w:val="17"/>
              </w:rPr>
              <w:t>Candidate window</w:t>
            </w:r>
          </w:p>
        </w:tc>
        <w:tc>
          <w:tcPr>
            <w:tcW w:type="dxa" w:w="4939"/>
            <w:vAlign w:val="center"/>
            <w:tcMar>
              <w:top w:w="90" w:type="dxa"/>
              <w:start w:w="110" w:type="dxa"/>
              <w:bottom w:w="90" w:type="dxa"/>
              <w:end w:w="110" w:type="dxa"/>
            </w:tcMar>
          </w:tcPr>
          <w:p>
            <w:pPr>
              <w:jc w:val="left"/>
            </w:pPr>
            <w:r>
              <w:rPr>
                <w:rFonts w:ascii="Liberation Sans" w:hAnsi="Liberation Sans"/>
                <w:sz w:val="17"/>
              </w:rPr>
              <w:t>Feasible contiguous start and duration option</w:t>
            </w:r>
          </w:p>
        </w:tc>
      </w:tr>
      <w:tr>
        <w:trPr>
          <w:cantSplit/>
        </w:trPr>
        <w:tc>
          <w:tcPr>
            <w:tcW w:type="dxa" w:w="4939"/>
            <w:vAlign w:val="center"/>
            <w:tcMar>
              <w:top w:w="90" w:type="dxa"/>
              <w:start w:w="110" w:type="dxa"/>
              <w:bottom w:w="90" w:type="dxa"/>
              <w:end w:w="110" w:type="dxa"/>
            </w:tcMar>
            <w:shd w:fill="EDF4F1"/>
          </w:tcPr>
          <w:p>
            <w:pPr>
              <w:jc w:val="left"/>
            </w:pPr>
            <w:r>
              <w:rPr>
                <w:rFonts w:ascii="Liberation Sans" w:hAnsi="Liberation Sans"/>
                <w:sz w:val="17"/>
              </w:rPr>
              <w:t>Carbon intensity</w:t>
            </w:r>
          </w:p>
        </w:tc>
        <w:tc>
          <w:tcPr>
            <w:tcW w:type="dxa" w:w="4939"/>
            <w:vAlign w:val="center"/>
            <w:tcMar>
              <w:top w:w="90" w:type="dxa"/>
              <w:start w:w="110" w:type="dxa"/>
              <w:bottom w:w="90" w:type="dxa"/>
              <w:end w:w="110" w:type="dxa"/>
            </w:tcMar>
            <w:shd w:fill="EDF4F1"/>
          </w:tcPr>
          <w:p>
            <w:pPr>
              <w:jc w:val="left"/>
            </w:pPr>
            <w:r>
              <w:rPr>
                <w:rFonts w:ascii="Liberation Sans" w:hAnsi="Liberation Sans"/>
                <w:sz w:val="17"/>
              </w:rPr>
              <w:t>Emissions per unit of electricity</w:t>
            </w:r>
          </w:p>
        </w:tc>
      </w:tr>
      <w:tr>
        <w:trPr>
          <w:cantSplit/>
        </w:trPr>
        <w:tc>
          <w:tcPr>
            <w:tcW w:type="dxa" w:w="4939"/>
            <w:vAlign w:val="center"/>
            <w:tcMar>
              <w:top w:w="90" w:type="dxa"/>
              <w:start w:w="110" w:type="dxa"/>
              <w:bottom w:w="90" w:type="dxa"/>
              <w:end w:w="110" w:type="dxa"/>
            </w:tcMar>
          </w:tcPr>
          <w:p>
            <w:pPr>
              <w:jc w:val="left"/>
            </w:pPr>
            <w:r>
              <w:rPr>
                <w:rFonts w:ascii="Liberation Sans" w:hAnsi="Liberation Sans"/>
                <w:sz w:val="17"/>
              </w:rPr>
              <w:t>Champion</w:t>
            </w:r>
          </w:p>
        </w:tc>
        <w:tc>
          <w:tcPr>
            <w:tcW w:type="dxa" w:w="4939"/>
            <w:vAlign w:val="center"/>
            <w:tcMar>
              <w:top w:w="90" w:type="dxa"/>
              <w:start w:w="110" w:type="dxa"/>
              <w:bottom w:w="90" w:type="dxa"/>
              <w:end w:w="110" w:type="dxa"/>
            </w:tcMar>
          </w:tcPr>
          <w:p>
            <w:pPr>
              <w:jc w:val="left"/>
            </w:pPr>
            <w:r>
              <w:rPr>
                <w:rFonts w:ascii="Liberation Sans" w:hAnsi="Liberation Sans"/>
                <w:sz w:val="17"/>
              </w:rPr>
              <w:t>Production model selected by the decision-quality rule</w:t>
            </w:r>
          </w:p>
        </w:tc>
      </w:tr>
      <w:tr>
        <w:trPr>
          <w:cantSplit/>
        </w:trPr>
        <w:tc>
          <w:tcPr>
            <w:tcW w:type="dxa" w:w="4939"/>
            <w:vAlign w:val="center"/>
            <w:tcMar>
              <w:top w:w="90" w:type="dxa"/>
              <w:start w:w="110" w:type="dxa"/>
              <w:bottom w:w="90" w:type="dxa"/>
              <w:end w:w="110" w:type="dxa"/>
            </w:tcMar>
            <w:shd w:fill="EDF4F1"/>
          </w:tcPr>
          <w:p>
            <w:pPr>
              <w:jc w:val="left"/>
            </w:pPr>
            <w:r>
              <w:rPr>
                <w:rFonts w:ascii="Liberation Sans" w:hAnsi="Liberation Sans"/>
                <w:sz w:val="17"/>
              </w:rPr>
              <w:t>Confounder</w:t>
            </w:r>
          </w:p>
        </w:tc>
        <w:tc>
          <w:tcPr>
            <w:tcW w:type="dxa" w:w="4939"/>
            <w:vAlign w:val="center"/>
            <w:tcMar>
              <w:top w:w="90" w:type="dxa"/>
              <w:start w:w="110" w:type="dxa"/>
              <w:bottom w:w="90" w:type="dxa"/>
              <w:end w:w="110" w:type="dxa"/>
            </w:tcMar>
            <w:shd w:fill="EDF4F1"/>
          </w:tcPr>
          <w:p>
            <w:pPr>
              <w:jc w:val="left"/>
            </w:pPr>
            <w:r>
              <w:rPr>
                <w:rFonts w:ascii="Liberation Sans" w:hAnsi="Liberation Sans"/>
                <w:sz w:val="17"/>
              </w:rPr>
              <w:t>Pre-treatment variable affecting both treatment assignment and outcome</w:t>
            </w:r>
          </w:p>
        </w:tc>
      </w:tr>
      <w:tr>
        <w:trPr>
          <w:cantSplit/>
        </w:trPr>
        <w:tc>
          <w:tcPr>
            <w:tcW w:type="dxa" w:w="4939"/>
            <w:vAlign w:val="center"/>
            <w:tcMar>
              <w:top w:w="90" w:type="dxa"/>
              <w:start w:w="110" w:type="dxa"/>
              <w:bottom w:w="90" w:type="dxa"/>
              <w:end w:w="110" w:type="dxa"/>
            </w:tcMar>
          </w:tcPr>
          <w:p>
            <w:pPr>
              <w:jc w:val="left"/>
            </w:pPr>
            <w:r>
              <w:rPr>
                <w:rFonts w:ascii="Liberation Sans" w:hAnsi="Liberation Sans"/>
                <w:sz w:val="17"/>
              </w:rPr>
              <w:t>Counterfactual</w:t>
            </w:r>
          </w:p>
        </w:tc>
        <w:tc>
          <w:tcPr>
            <w:tcW w:type="dxa" w:w="4939"/>
            <w:vAlign w:val="center"/>
            <w:tcMar>
              <w:top w:w="90" w:type="dxa"/>
              <w:start w:w="110" w:type="dxa"/>
              <w:bottom w:w="90" w:type="dxa"/>
              <w:end w:w="110" w:type="dxa"/>
            </w:tcMar>
          </w:tcPr>
          <w:p>
            <w:pPr>
              <w:jc w:val="left"/>
            </w:pPr>
            <w:r>
              <w:rPr>
                <w:rFonts w:ascii="Liberation Sans" w:hAnsi="Liberation Sans"/>
                <w:sz w:val="17"/>
              </w:rPr>
              <w:t>Outcome that would occur under an alternative intervention</w:t>
            </w:r>
          </w:p>
        </w:tc>
      </w:tr>
      <w:tr>
        <w:trPr>
          <w:cantSplit/>
        </w:trPr>
        <w:tc>
          <w:tcPr>
            <w:tcW w:type="dxa" w:w="4939"/>
            <w:vAlign w:val="center"/>
            <w:tcMar>
              <w:top w:w="90" w:type="dxa"/>
              <w:start w:w="110" w:type="dxa"/>
              <w:bottom w:w="90" w:type="dxa"/>
              <w:end w:w="110" w:type="dxa"/>
            </w:tcMar>
            <w:shd w:fill="EDF4F1"/>
          </w:tcPr>
          <w:p>
            <w:pPr>
              <w:jc w:val="left"/>
            </w:pPr>
            <w:r>
              <w:rPr>
                <w:rFonts w:ascii="Liberation Sans" w:hAnsi="Liberation Sans"/>
                <w:sz w:val="17"/>
              </w:rPr>
              <w:t>DAG</w:t>
            </w:r>
          </w:p>
        </w:tc>
        <w:tc>
          <w:tcPr>
            <w:tcW w:type="dxa" w:w="4939"/>
            <w:vAlign w:val="center"/>
            <w:tcMar>
              <w:top w:w="90" w:type="dxa"/>
              <w:start w:w="110" w:type="dxa"/>
              <w:bottom w:w="90" w:type="dxa"/>
              <w:end w:w="110" w:type="dxa"/>
            </w:tcMar>
            <w:shd w:fill="EDF4F1"/>
          </w:tcPr>
          <w:p>
            <w:pPr>
              <w:jc w:val="left"/>
            </w:pPr>
            <w:r>
              <w:rPr>
                <w:rFonts w:ascii="Liberation Sans" w:hAnsi="Liberation Sans"/>
                <w:sz w:val="17"/>
              </w:rPr>
              <w:t>Directed acyclic graph representing assumed causal relationships</w:t>
            </w:r>
          </w:p>
        </w:tc>
      </w:tr>
      <w:tr>
        <w:trPr>
          <w:cantSplit/>
        </w:trPr>
        <w:tc>
          <w:tcPr>
            <w:tcW w:type="dxa" w:w="4939"/>
            <w:vAlign w:val="center"/>
            <w:tcMar>
              <w:top w:w="90" w:type="dxa"/>
              <w:start w:w="110" w:type="dxa"/>
              <w:bottom w:w="90" w:type="dxa"/>
              <w:end w:w="110" w:type="dxa"/>
            </w:tcMar>
          </w:tcPr>
          <w:p>
            <w:pPr>
              <w:jc w:val="left"/>
            </w:pPr>
            <w:r>
              <w:rPr>
                <w:rFonts w:ascii="Liberation Sans" w:hAnsi="Liberation Sans"/>
                <w:sz w:val="17"/>
              </w:rPr>
              <w:t>Estimand</w:t>
            </w:r>
          </w:p>
        </w:tc>
        <w:tc>
          <w:tcPr>
            <w:tcW w:type="dxa" w:w="4939"/>
            <w:vAlign w:val="center"/>
            <w:tcMar>
              <w:top w:w="90" w:type="dxa"/>
              <w:start w:w="110" w:type="dxa"/>
              <w:bottom w:w="90" w:type="dxa"/>
              <w:end w:w="110" w:type="dxa"/>
            </w:tcMar>
          </w:tcPr>
          <w:p>
            <w:pPr>
              <w:jc w:val="left"/>
            </w:pPr>
            <w:r>
              <w:rPr>
                <w:rFonts w:ascii="Liberation Sans" w:hAnsi="Liberation Sans"/>
                <w:sz w:val="17"/>
              </w:rPr>
              <w:t>Exact causal quantity the analysis intends to estimate</w:t>
            </w:r>
          </w:p>
        </w:tc>
      </w:tr>
      <w:tr>
        <w:trPr>
          <w:cantSplit/>
        </w:trPr>
        <w:tc>
          <w:tcPr>
            <w:tcW w:type="dxa" w:w="4939"/>
            <w:vAlign w:val="center"/>
            <w:tcMar>
              <w:top w:w="90" w:type="dxa"/>
              <w:start w:w="110" w:type="dxa"/>
              <w:bottom w:w="90" w:type="dxa"/>
              <w:end w:w="110" w:type="dxa"/>
            </w:tcMar>
            <w:shd w:fill="EDF4F1"/>
          </w:tcPr>
          <w:p>
            <w:pPr>
              <w:jc w:val="left"/>
            </w:pPr>
            <w:r>
              <w:rPr>
                <w:rFonts w:ascii="Liberation Sans" w:hAnsi="Liberation Sans"/>
                <w:sz w:val="17"/>
              </w:rPr>
              <w:t>Forecast</w:t>
            </w:r>
          </w:p>
        </w:tc>
        <w:tc>
          <w:tcPr>
            <w:tcW w:type="dxa" w:w="4939"/>
            <w:vAlign w:val="center"/>
            <w:tcMar>
              <w:top w:w="90" w:type="dxa"/>
              <w:start w:w="110" w:type="dxa"/>
              <w:bottom w:w="90" w:type="dxa"/>
              <w:end w:w="110" w:type="dxa"/>
            </w:tcMar>
            <w:shd w:fill="EDF4F1"/>
          </w:tcPr>
          <w:p>
            <w:pPr>
              <w:jc w:val="left"/>
            </w:pPr>
            <w:r>
              <w:rPr>
                <w:rFonts w:ascii="Liberation Sans" w:hAnsi="Liberation Sans"/>
                <w:sz w:val="17"/>
              </w:rPr>
              <w:t>Prediction of a future observable value</w:t>
            </w:r>
          </w:p>
        </w:tc>
      </w:tr>
      <w:tr>
        <w:trPr>
          <w:cantSplit/>
        </w:trPr>
        <w:tc>
          <w:tcPr>
            <w:tcW w:type="dxa" w:w="4939"/>
            <w:vAlign w:val="center"/>
            <w:tcMar>
              <w:top w:w="90" w:type="dxa"/>
              <w:start w:w="110" w:type="dxa"/>
              <w:bottom w:w="90" w:type="dxa"/>
              <w:end w:w="110" w:type="dxa"/>
            </w:tcMar>
          </w:tcPr>
          <w:p>
            <w:pPr>
              <w:jc w:val="left"/>
            </w:pPr>
            <w:r>
              <w:rPr>
                <w:rFonts w:ascii="Liberation Sans" w:hAnsi="Liberation Sans"/>
                <w:sz w:val="17"/>
              </w:rPr>
              <w:t>Marginal emissions</w:t>
            </w:r>
          </w:p>
        </w:tc>
        <w:tc>
          <w:tcPr>
            <w:tcW w:type="dxa" w:w="4939"/>
            <w:vAlign w:val="center"/>
            <w:tcMar>
              <w:top w:w="90" w:type="dxa"/>
              <w:start w:w="110" w:type="dxa"/>
              <w:bottom w:w="90" w:type="dxa"/>
              <w:end w:w="110" w:type="dxa"/>
            </w:tcMar>
          </w:tcPr>
          <w:p>
            <w:pPr>
              <w:jc w:val="left"/>
            </w:pPr>
            <w:r>
              <w:rPr>
                <w:rFonts w:ascii="Liberation Sans" w:hAnsi="Liberation Sans"/>
                <w:sz w:val="17"/>
              </w:rPr>
              <w:t>Emissions caused by a small or defined change in electricity demand</w:t>
            </w:r>
          </w:p>
        </w:tc>
      </w:tr>
      <w:tr>
        <w:trPr>
          <w:cantSplit/>
        </w:trPr>
        <w:tc>
          <w:tcPr>
            <w:tcW w:type="dxa" w:w="4939"/>
            <w:vAlign w:val="center"/>
            <w:tcMar>
              <w:top w:w="90" w:type="dxa"/>
              <w:start w:w="110" w:type="dxa"/>
              <w:bottom w:w="90" w:type="dxa"/>
              <w:end w:w="110" w:type="dxa"/>
            </w:tcMar>
            <w:shd w:fill="EDF4F1"/>
          </w:tcPr>
          <w:p>
            <w:pPr>
              <w:jc w:val="left"/>
            </w:pPr>
            <w:r>
              <w:rPr>
                <w:rFonts w:ascii="Liberation Sans" w:hAnsi="Liberation Sans"/>
                <w:sz w:val="17"/>
              </w:rPr>
              <w:t>Mediator</w:t>
            </w:r>
          </w:p>
        </w:tc>
        <w:tc>
          <w:tcPr>
            <w:tcW w:type="dxa" w:w="4939"/>
            <w:vAlign w:val="center"/>
            <w:tcMar>
              <w:top w:w="90" w:type="dxa"/>
              <w:start w:w="110" w:type="dxa"/>
              <w:bottom w:w="90" w:type="dxa"/>
              <w:end w:w="110" w:type="dxa"/>
            </w:tcMar>
            <w:shd w:fill="EDF4F1"/>
          </w:tcPr>
          <w:p>
            <w:pPr>
              <w:jc w:val="left"/>
            </w:pPr>
            <w:r>
              <w:rPr>
                <w:rFonts w:ascii="Liberation Sans" w:hAnsi="Liberation Sans"/>
                <w:sz w:val="17"/>
              </w:rPr>
              <w:t>Variable through which the treatment affects the outcome</w:t>
            </w:r>
          </w:p>
        </w:tc>
      </w:tr>
      <w:tr>
        <w:trPr>
          <w:cantSplit/>
        </w:trPr>
        <w:tc>
          <w:tcPr>
            <w:tcW w:type="dxa" w:w="4939"/>
            <w:vAlign w:val="center"/>
            <w:tcMar>
              <w:top w:w="90" w:type="dxa"/>
              <w:start w:w="110" w:type="dxa"/>
              <w:bottom w:w="90" w:type="dxa"/>
              <w:end w:w="110" w:type="dxa"/>
            </w:tcMar>
          </w:tcPr>
          <w:p>
            <w:pPr>
              <w:jc w:val="left"/>
            </w:pPr>
            <w:r>
              <w:rPr>
                <w:rFonts w:ascii="Liberation Sans" w:hAnsi="Liberation Sans"/>
                <w:sz w:val="17"/>
              </w:rPr>
              <w:t>Overlap</w:t>
            </w:r>
          </w:p>
        </w:tc>
        <w:tc>
          <w:tcPr>
            <w:tcW w:type="dxa" w:w="4939"/>
            <w:vAlign w:val="center"/>
            <w:tcMar>
              <w:top w:w="90" w:type="dxa"/>
              <w:start w:w="110" w:type="dxa"/>
              <w:bottom w:w="90" w:type="dxa"/>
              <w:end w:w="110" w:type="dxa"/>
            </w:tcMar>
          </w:tcPr>
          <w:p>
            <w:pPr>
              <w:jc w:val="left"/>
            </w:pPr>
            <w:r>
              <w:rPr>
                <w:rFonts w:ascii="Liberation Sans" w:hAnsi="Liberation Sans"/>
                <w:sz w:val="17"/>
              </w:rPr>
              <w:t>Comparable data exists for the treatment choices being evaluated</w:t>
            </w:r>
          </w:p>
        </w:tc>
      </w:tr>
      <w:tr>
        <w:trPr>
          <w:cantSplit/>
        </w:trPr>
        <w:tc>
          <w:tcPr>
            <w:tcW w:type="dxa" w:w="4939"/>
            <w:vAlign w:val="center"/>
            <w:tcMar>
              <w:top w:w="90" w:type="dxa"/>
              <w:start w:w="110" w:type="dxa"/>
              <w:bottom w:w="90" w:type="dxa"/>
              <w:end w:w="110" w:type="dxa"/>
            </w:tcMar>
            <w:shd w:fill="EDF4F1"/>
          </w:tcPr>
          <w:p>
            <w:pPr>
              <w:jc w:val="left"/>
            </w:pPr>
            <w:r>
              <w:rPr>
                <w:rFonts w:ascii="Liberation Sans" w:hAnsi="Liberation Sans"/>
                <w:sz w:val="17"/>
              </w:rPr>
              <w:t>Proxy</w:t>
            </w:r>
          </w:p>
        </w:tc>
        <w:tc>
          <w:tcPr>
            <w:tcW w:type="dxa" w:w="4939"/>
            <w:vAlign w:val="center"/>
            <w:tcMar>
              <w:top w:w="90" w:type="dxa"/>
              <w:start w:w="110" w:type="dxa"/>
              <w:bottom w:w="90" w:type="dxa"/>
              <w:end w:w="110" w:type="dxa"/>
            </w:tcMar>
            <w:shd w:fill="EDF4F1"/>
          </w:tcPr>
          <w:p>
            <w:pPr>
              <w:jc w:val="left"/>
            </w:pPr>
            <w:r>
              <w:rPr>
                <w:rFonts w:ascii="Liberation Sans" w:hAnsi="Liberation Sans"/>
                <w:sz w:val="17"/>
              </w:rPr>
              <w:t>Measurable substitute that approximates a harder quantity</w:t>
            </w:r>
          </w:p>
        </w:tc>
      </w:tr>
      <w:tr>
        <w:trPr>
          <w:cantSplit/>
        </w:trPr>
        <w:tc>
          <w:tcPr>
            <w:tcW w:type="dxa" w:w="4939"/>
            <w:vAlign w:val="center"/>
            <w:tcMar>
              <w:top w:w="90" w:type="dxa"/>
              <w:start w:w="110" w:type="dxa"/>
              <w:bottom w:w="90" w:type="dxa"/>
              <w:end w:w="110" w:type="dxa"/>
            </w:tcMar>
          </w:tcPr>
          <w:p>
            <w:pPr>
              <w:jc w:val="left"/>
            </w:pPr>
            <w:r>
              <w:rPr>
                <w:rFonts w:ascii="Liberation Sans" w:hAnsi="Liberation Sans"/>
                <w:sz w:val="17"/>
              </w:rPr>
              <w:t>Regret</w:t>
            </w:r>
          </w:p>
        </w:tc>
        <w:tc>
          <w:tcPr>
            <w:tcW w:type="dxa" w:w="4939"/>
            <w:vAlign w:val="center"/>
            <w:tcMar>
              <w:top w:w="90" w:type="dxa"/>
              <w:start w:w="110" w:type="dxa"/>
              <w:bottom w:w="90" w:type="dxa"/>
              <w:end w:w="110" w:type="dxa"/>
            </w:tcMar>
          </w:tcPr>
          <w:p>
            <w:pPr>
              <w:jc w:val="left"/>
            </w:pPr>
            <w:r>
              <w:rPr>
                <w:rFonts w:ascii="Liberation Sans" w:hAnsi="Liberation Sans"/>
                <w:sz w:val="17"/>
              </w:rPr>
              <w:t>Realized gap between the chosen decision and the best feasible decision</w:t>
            </w:r>
          </w:p>
        </w:tc>
      </w:tr>
      <w:tr>
        <w:trPr>
          <w:cantSplit/>
        </w:trPr>
        <w:tc>
          <w:tcPr>
            <w:tcW w:type="dxa" w:w="4939"/>
            <w:vAlign w:val="center"/>
            <w:tcMar>
              <w:top w:w="90" w:type="dxa"/>
              <w:start w:w="110" w:type="dxa"/>
              <w:bottom w:w="90" w:type="dxa"/>
              <w:end w:w="110" w:type="dxa"/>
            </w:tcMar>
            <w:shd w:fill="EDF4F1"/>
          </w:tcPr>
          <w:p>
            <w:pPr>
              <w:jc w:val="left"/>
            </w:pPr>
            <w:r>
              <w:rPr>
                <w:rFonts w:ascii="Liberation Sans" w:hAnsi="Liberation Sans"/>
                <w:sz w:val="17"/>
              </w:rPr>
              <w:t>Scenario</w:t>
            </w:r>
          </w:p>
        </w:tc>
        <w:tc>
          <w:tcPr>
            <w:tcW w:type="dxa" w:w="4939"/>
            <w:vAlign w:val="center"/>
            <w:tcMar>
              <w:top w:w="90" w:type="dxa"/>
              <w:start w:w="110" w:type="dxa"/>
              <w:bottom w:w="90" w:type="dxa"/>
              <w:end w:w="110" w:type="dxa"/>
            </w:tcMar>
            <w:shd w:fill="EDF4F1"/>
          </w:tcPr>
          <w:p>
            <w:pPr>
              <w:jc w:val="left"/>
            </w:pPr>
            <w:r>
              <w:rPr>
                <w:rFonts w:ascii="Liberation Sans" w:hAnsi="Liberation Sans"/>
                <w:sz w:val="17"/>
              </w:rPr>
              <w:t>Business preference that changes price and carbon weights</w:t>
            </w:r>
          </w:p>
        </w:tc>
      </w:tr>
      <w:tr>
        <w:trPr>
          <w:cantSplit/>
        </w:trPr>
        <w:tc>
          <w:tcPr>
            <w:tcW w:type="dxa" w:w="4939"/>
            <w:vAlign w:val="center"/>
            <w:tcMar>
              <w:top w:w="90" w:type="dxa"/>
              <w:start w:w="110" w:type="dxa"/>
              <w:bottom w:w="90" w:type="dxa"/>
              <w:end w:w="110" w:type="dxa"/>
            </w:tcMar>
          </w:tcPr>
          <w:p>
            <w:pPr>
              <w:jc w:val="left"/>
            </w:pPr>
            <w:r>
              <w:rPr>
                <w:rFonts w:ascii="Liberation Sans" w:hAnsi="Liberation Sans"/>
                <w:sz w:val="17"/>
              </w:rPr>
              <w:t>Treatment</w:t>
            </w:r>
          </w:p>
        </w:tc>
        <w:tc>
          <w:tcPr>
            <w:tcW w:type="dxa" w:w="4939"/>
            <w:vAlign w:val="center"/>
            <w:tcMar>
              <w:top w:w="90" w:type="dxa"/>
              <w:start w:w="110" w:type="dxa"/>
              <w:bottom w:w="90" w:type="dxa"/>
              <w:end w:w="110" w:type="dxa"/>
            </w:tcMar>
          </w:tcPr>
          <w:p>
            <w:pPr>
              <w:jc w:val="left"/>
            </w:pPr>
            <w:r>
              <w:rPr>
                <w:rFonts w:ascii="Liberation Sans" w:hAnsi="Liberation Sans"/>
                <w:sz w:val="17"/>
              </w:rPr>
              <w:t>Intervention whose causal effect is being estimated</w:t>
            </w:r>
          </w:p>
        </w:tc>
      </w:tr>
    </w:tbl>
    <w:p>
      <w:pPr>
        <w:spacing w:after="20"/>
      </w:pPr>
    </w:p>
    <w:p>
      <w:pPr>
        <w:pStyle w:val="Heading1"/>
        <w:keepNext/>
      </w:pPr>
      <w:r>
        <w:rPr>
          <w:rFonts w:ascii="Liberation Sans" w:hAnsi="Liberation Sans"/>
        </w:rPr>
        <w:t>Repository Guide</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val="true"/>
          <w:cantSplit/>
        </w:trPr>
        <w:tc>
          <w:tcPr>
            <w:tcW w:type="dxa" w:w="4939"/>
            <w:vAlign w:val="center"/>
            <w:shd w:fill="315A4B"/>
            <w:tcMar>
              <w:top w:w="90" w:type="dxa"/>
              <w:start w:w="110" w:type="dxa"/>
              <w:bottom w:w="90" w:type="dxa"/>
              <w:end w:w="110" w:type="dxa"/>
            </w:tcMar>
          </w:tcPr>
          <w:p>
            <w:pPr>
              <w:jc w:val="center"/>
            </w:pPr>
            <w:r>
              <w:rPr>
                <w:rFonts w:ascii="Liberation Sans" w:hAnsi="Liberation Sans"/>
                <w:b/>
                <w:color w:val="FFFFFF"/>
                <w:sz w:val="18"/>
              </w:rPr>
              <w:t>Topic</w:t>
            </w:r>
          </w:p>
        </w:tc>
        <w:tc>
          <w:tcPr>
            <w:tcW w:type="dxa" w:w="4939"/>
            <w:vAlign w:val="center"/>
            <w:shd w:fill="315A4B"/>
            <w:tcMar>
              <w:top w:w="90" w:type="dxa"/>
              <w:start w:w="110" w:type="dxa"/>
              <w:bottom w:w="90" w:type="dxa"/>
              <w:end w:w="110" w:type="dxa"/>
            </w:tcMar>
          </w:tcPr>
          <w:p>
            <w:pPr>
              <w:jc w:val="center"/>
            </w:pPr>
            <w:r>
              <w:rPr>
                <w:rFonts w:ascii="Liberation Sans" w:hAnsi="Liberation Sans"/>
                <w:b/>
                <w:color w:val="FFFFFF"/>
                <w:sz w:val="18"/>
              </w:rPr>
              <w:t>Primary location</w:t>
            </w:r>
          </w:p>
        </w:tc>
      </w:tr>
      <w:tr>
        <w:trPr>
          <w:cantSplit/>
        </w:trPr>
        <w:tc>
          <w:tcPr>
            <w:tcW w:type="dxa" w:w="4939"/>
            <w:vAlign w:val="center"/>
            <w:tcMar>
              <w:top w:w="90" w:type="dxa"/>
              <w:start w:w="110" w:type="dxa"/>
              <w:bottom w:w="90" w:type="dxa"/>
              <w:end w:w="110" w:type="dxa"/>
            </w:tcMar>
          </w:tcPr>
          <w:p>
            <w:pPr>
              <w:jc w:val="left"/>
            </w:pPr>
            <w:r>
              <w:rPr>
                <w:rFonts w:ascii="Liberation Sans" w:hAnsi="Liberation Sans"/>
                <w:sz w:val="17"/>
              </w:rPr>
              <w:t>Data contracts</w:t>
            </w:r>
          </w:p>
        </w:tc>
        <w:tc>
          <w:tcPr>
            <w:tcW w:type="dxa" w:w="4939"/>
            <w:vAlign w:val="center"/>
            <w:tcMar>
              <w:top w:w="90" w:type="dxa"/>
              <w:start w:w="110" w:type="dxa"/>
              <w:bottom w:w="90" w:type="dxa"/>
              <w:end w:w="110" w:type="dxa"/>
            </w:tcMar>
          </w:tcPr>
          <w:p>
            <w:pPr>
              <w:jc w:val="left"/>
            </w:pPr>
            <w:r>
              <w:rPr>
                <w:rFonts w:ascii="Liberation Mono" w:hAnsi="Liberation Mono"/>
                <w:sz w:val="17"/>
              </w:rPr>
              <w:t>src/data/contracts.py</w:t>
            </w:r>
            <w:r>
              <w:rPr>
                <w:rFonts w:ascii="Liberation Sans" w:hAnsi="Liberation Sans"/>
                <w:sz w:val="17"/>
              </w:rPr>
              <w:t xml:space="preserve"> and </w:t>
            </w:r>
            <w:r>
              <w:rPr>
                <w:rFonts w:ascii="Liberation Mono" w:hAnsi="Liberation Mono"/>
                <w:sz w:val="17"/>
              </w:rPr>
              <w:t>docs/data_contracts.md</w:t>
            </w:r>
          </w:p>
        </w:tc>
      </w:tr>
      <w:tr>
        <w:trPr>
          <w:cantSplit/>
        </w:trPr>
        <w:tc>
          <w:tcPr>
            <w:tcW w:type="dxa" w:w="4939"/>
            <w:vAlign w:val="center"/>
            <w:tcMar>
              <w:top w:w="90" w:type="dxa"/>
              <w:start w:w="110" w:type="dxa"/>
              <w:bottom w:w="90" w:type="dxa"/>
              <w:end w:w="110" w:type="dxa"/>
            </w:tcMar>
            <w:shd w:fill="EDF4F1"/>
          </w:tcPr>
          <w:p>
            <w:pPr>
              <w:jc w:val="left"/>
            </w:pPr>
            <w:r>
              <w:rPr>
                <w:rFonts w:ascii="Liberation Sans" w:hAnsi="Liberation Sans"/>
                <w:sz w:val="17"/>
              </w:rPr>
              <w:t>Data sources</w:t>
            </w:r>
          </w:p>
        </w:tc>
        <w:tc>
          <w:tcPr>
            <w:tcW w:type="dxa" w:w="4939"/>
            <w:vAlign w:val="center"/>
            <w:tcMar>
              <w:top w:w="90" w:type="dxa"/>
              <w:start w:w="110" w:type="dxa"/>
              <w:bottom w:w="90" w:type="dxa"/>
              <w:end w:w="110" w:type="dxa"/>
            </w:tcMar>
            <w:shd w:fill="EDF4F1"/>
          </w:tcPr>
          <w:p>
            <w:pPr>
              <w:jc w:val="center"/>
            </w:pPr>
            <w:r>
              <w:rPr>
                <w:rFonts w:ascii="Liberation Mono" w:hAnsi="Liberation Mono"/>
                <w:sz w:val="17"/>
              </w:rPr>
              <w:t>docs/data_sources.md</w:t>
            </w:r>
          </w:p>
        </w:tc>
      </w:tr>
      <w:tr>
        <w:trPr>
          <w:cantSplit/>
        </w:trPr>
        <w:tc>
          <w:tcPr>
            <w:tcW w:type="dxa" w:w="4939"/>
            <w:vAlign w:val="center"/>
            <w:tcMar>
              <w:top w:w="90" w:type="dxa"/>
              <w:start w:w="110" w:type="dxa"/>
              <w:bottom w:w="90" w:type="dxa"/>
              <w:end w:w="110" w:type="dxa"/>
            </w:tcMar>
          </w:tcPr>
          <w:p>
            <w:pPr>
              <w:jc w:val="left"/>
            </w:pPr>
            <w:r>
              <w:rPr>
                <w:rFonts w:ascii="Liberation Sans" w:hAnsi="Liberation Sans"/>
                <w:sz w:val="17"/>
              </w:rPr>
              <w:t>Feature construction</w:t>
            </w:r>
          </w:p>
        </w:tc>
        <w:tc>
          <w:tcPr>
            <w:tcW w:type="dxa" w:w="4939"/>
            <w:vAlign w:val="center"/>
            <w:tcMar>
              <w:top w:w="90" w:type="dxa"/>
              <w:start w:w="110" w:type="dxa"/>
              <w:bottom w:w="90" w:type="dxa"/>
              <w:end w:w="110" w:type="dxa"/>
            </w:tcMar>
          </w:tcPr>
          <w:p>
            <w:pPr>
              <w:jc w:val="left"/>
            </w:pPr>
            <w:r>
              <w:rPr>
                <w:rFonts w:ascii="Liberation Mono" w:hAnsi="Liberation Mono"/>
                <w:sz w:val="17"/>
              </w:rPr>
              <w:t>src/features/price_features.py</w:t>
            </w:r>
          </w:p>
        </w:tc>
      </w:tr>
      <w:tr>
        <w:trPr>
          <w:cantSplit/>
        </w:trPr>
        <w:tc>
          <w:tcPr>
            <w:tcW w:type="dxa" w:w="4939"/>
            <w:vAlign w:val="center"/>
            <w:tcMar>
              <w:top w:w="90" w:type="dxa"/>
              <w:start w:w="110" w:type="dxa"/>
              <w:bottom w:w="90" w:type="dxa"/>
              <w:end w:w="110" w:type="dxa"/>
            </w:tcMar>
            <w:shd w:fill="EDF4F1"/>
          </w:tcPr>
          <w:p>
            <w:pPr>
              <w:jc w:val="left"/>
            </w:pPr>
            <w:r>
              <w:rPr>
                <w:rFonts w:ascii="Liberation Sans" w:hAnsi="Liberation Sans"/>
                <w:sz w:val="17"/>
              </w:rPr>
              <w:t>Forecast training</w:t>
            </w:r>
          </w:p>
        </w:tc>
        <w:tc>
          <w:tcPr>
            <w:tcW w:type="dxa" w:w="4939"/>
            <w:vAlign w:val="center"/>
            <w:tcMar>
              <w:top w:w="90" w:type="dxa"/>
              <w:start w:w="110" w:type="dxa"/>
              <w:bottom w:w="90" w:type="dxa"/>
              <w:end w:w="110" w:type="dxa"/>
            </w:tcMar>
            <w:shd w:fill="EDF4F1"/>
          </w:tcPr>
          <w:p>
            <w:pPr>
              <w:jc w:val="left"/>
            </w:pPr>
            <w:r>
              <w:rPr>
                <w:rFonts w:ascii="Liberation Mono" w:hAnsi="Liberation Mono"/>
                <w:sz w:val="17"/>
              </w:rPr>
              <w:t>src/models/train_forecast.py</w:t>
            </w:r>
          </w:p>
        </w:tc>
      </w:tr>
      <w:tr>
        <w:trPr>
          <w:cantSplit/>
        </w:trPr>
        <w:tc>
          <w:tcPr>
            <w:tcW w:type="dxa" w:w="4939"/>
            <w:vAlign w:val="center"/>
            <w:tcMar>
              <w:top w:w="90" w:type="dxa"/>
              <w:start w:w="110" w:type="dxa"/>
              <w:bottom w:w="90" w:type="dxa"/>
              <w:end w:w="110" w:type="dxa"/>
            </w:tcMar>
          </w:tcPr>
          <w:p>
            <w:pPr>
              <w:jc w:val="left"/>
            </w:pPr>
            <w:r>
              <w:rPr>
                <w:rFonts w:ascii="Liberation Sans" w:hAnsi="Liberation Sans"/>
                <w:sz w:val="17"/>
              </w:rPr>
              <w:t>Future recommendations</w:t>
            </w:r>
          </w:p>
        </w:tc>
        <w:tc>
          <w:tcPr>
            <w:tcW w:type="dxa" w:w="4939"/>
            <w:vAlign w:val="center"/>
            <w:tcMar>
              <w:top w:w="90" w:type="dxa"/>
              <w:start w:w="110" w:type="dxa"/>
              <w:bottom w:w="90" w:type="dxa"/>
              <w:end w:w="110" w:type="dxa"/>
            </w:tcMar>
          </w:tcPr>
          <w:p>
            <w:pPr>
              <w:jc w:val="left"/>
            </w:pPr>
            <w:r>
              <w:rPr>
                <w:rFonts w:ascii="Liberation Mono" w:hAnsi="Liberation Mono"/>
                <w:sz w:val="17"/>
              </w:rPr>
              <w:t>src/models/future_recommendations.py</w:t>
            </w:r>
          </w:p>
        </w:tc>
      </w:tr>
      <w:tr>
        <w:trPr>
          <w:cantSplit/>
        </w:trPr>
        <w:tc>
          <w:tcPr>
            <w:tcW w:type="dxa" w:w="4939"/>
            <w:vAlign w:val="center"/>
            <w:tcMar>
              <w:top w:w="90" w:type="dxa"/>
              <w:start w:w="110" w:type="dxa"/>
              <w:bottom w:w="90" w:type="dxa"/>
              <w:end w:w="110" w:type="dxa"/>
            </w:tcMar>
            <w:shd w:fill="EDF4F1"/>
          </w:tcPr>
          <w:p>
            <w:pPr>
              <w:jc w:val="left"/>
            </w:pPr>
            <w:r>
              <w:rPr>
                <w:rFonts w:ascii="Liberation Sans" w:hAnsi="Liberation Sans"/>
                <w:sz w:val="17"/>
              </w:rPr>
              <w:t>Carbon accounting</w:t>
            </w:r>
          </w:p>
        </w:tc>
        <w:tc>
          <w:tcPr>
            <w:tcW w:type="dxa" w:w="4939"/>
            <w:vAlign w:val="center"/>
            <w:tcMar>
              <w:top w:w="90" w:type="dxa"/>
              <w:start w:w="110" w:type="dxa"/>
              <w:bottom w:w="90" w:type="dxa"/>
              <w:end w:w="110" w:type="dxa"/>
            </w:tcMar>
            <w:shd w:fill="EDF4F1"/>
          </w:tcPr>
          <w:p>
            <w:pPr>
              <w:jc w:val="left"/>
            </w:pPr>
            <w:r>
              <w:rPr>
                <w:rFonts w:ascii="Liberation Mono" w:hAnsi="Liberation Mono"/>
                <w:sz w:val="17"/>
              </w:rPr>
              <w:t>src/carbon/intensity.py</w:t>
            </w:r>
          </w:p>
        </w:tc>
      </w:tr>
      <w:tr>
        <w:trPr>
          <w:cantSplit/>
        </w:trPr>
        <w:tc>
          <w:tcPr>
            <w:tcW w:type="dxa" w:w="4939"/>
            <w:vAlign w:val="center"/>
            <w:tcMar>
              <w:top w:w="90" w:type="dxa"/>
              <w:start w:w="110" w:type="dxa"/>
              <w:bottom w:w="90" w:type="dxa"/>
              <w:end w:w="110" w:type="dxa"/>
            </w:tcMar>
          </w:tcPr>
          <w:p>
            <w:pPr>
              <w:jc w:val="left"/>
            </w:pPr>
            <w:r>
              <w:rPr>
                <w:rFonts w:ascii="Liberation Sans" w:hAnsi="Liberation Sans"/>
                <w:sz w:val="17"/>
              </w:rPr>
              <w:t>Marginal proxy</w:t>
            </w:r>
          </w:p>
        </w:tc>
        <w:tc>
          <w:tcPr>
            <w:tcW w:type="dxa" w:w="4939"/>
            <w:vAlign w:val="center"/>
            <w:tcMar>
              <w:top w:w="90" w:type="dxa"/>
              <w:start w:w="110" w:type="dxa"/>
              <w:bottom w:w="90" w:type="dxa"/>
              <w:end w:w="110" w:type="dxa"/>
            </w:tcMar>
          </w:tcPr>
          <w:p>
            <w:pPr>
              <w:jc w:val="left"/>
            </w:pPr>
            <w:r>
              <w:rPr>
                <w:rFonts w:ascii="Liberation Mono" w:hAnsi="Liberation Mono"/>
                <w:sz w:val="17"/>
              </w:rPr>
              <w:t>src/carbon/marginal.py</w:t>
            </w:r>
          </w:p>
        </w:tc>
      </w:tr>
      <w:tr>
        <w:trPr>
          <w:cantSplit/>
        </w:trPr>
        <w:tc>
          <w:tcPr>
            <w:tcW w:type="dxa" w:w="4939"/>
            <w:vAlign w:val="center"/>
            <w:tcMar>
              <w:top w:w="90" w:type="dxa"/>
              <w:start w:w="110" w:type="dxa"/>
              <w:bottom w:w="90" w:type="dxa"/>
              <w:end w:w="110" w:type="dxa"/>
            </w:tcMar>
            <w:shd w:fill="EDF4F1"/>
          </w:tcPr>
          <w:p>
            <w:pPr>
              <w:jc w:val="left"/>
            </w:pPr>
            <w:r>
              <w:rPr>
                <w:rFonts w:ascii="Liberation Sans" w:hAnsi="Liberation Sans"/>
                <w:sz w:val="17"/>
              </w:rPr>
              <w:t>Workload ranking</w:t>
            </w:r>
          </w:p>
        </w:tc>
        <w:tc>
          <w:tcPr>
            <w:tcW w:type="dxa" w:w="4939"/>
            <w:vAlign w:val="center"/>
            <w:tcMar>
              <w:top w:w="90" w:type="dxa"/>
              <w:start w:w="110" w:type="dxa"/>
              <w:bottom w:w="90" w:type="dxa"/>
              <w:end w:w="110" w:type="dxa"/>
            </w:tcMar>
            <w:shd w:fill="EDF4F1"/>
          </w:tcPr>
          <w:p>
            <w:pPr>
              <w:jc w:val="left"/>
            </w:pPr>
            <w:r>
              <w:rPr>
                <w:rFonts w:ascii="Liberation Mono" w:hAnsi="Liberation Mono"/>
                <w:sz w:val="17"/>
              </w:rPr>
              <w:t>src/optimization/workload_shift.py</w:t>
            </w:r>
          </w:p>
        </w:tc>
      </w:tr>
      <w:tr>
        <w:trPr>
          <w:cantSplit/>
        </w:trPr>
        <w:tc>
          <w:tcPr>
            <w:tcW w:type="dxa" w:w="4939"/>
            <w:vAlign w:val="center"/>
            <w:tcMar>
              <w:top w:w="90" w:type="dxa"/>
              <w:start w:w="110" w:type="dxa"/>
              <w:bottom w:w="90" w:type="dxa"/>
              <w:end w:w="110" w:type="dxa"/>
            </w:tcMar>
          </w:tcPr>
          <w:p>
            <w:pPr>
              <w:jc w:val="left"/>
            </w:pPr>
            <w:r>
              <w:rPr>
                <w:rFonts w:ascii="Liberation Sans" w:hAnsi="Liberation Sans"/>
                <w:sz w:val="17"/>
              </w:rPr>
              <w:t>Causal recommendations</w:t>
            </w:r>
          </w:p>
        </w:tc>
        <w:tc>
          <w:tcPr>
            <w:tcW w:type="dxa" w:w="4939"/>
            <w:vAlign w:val="center"/>
            <w:tcMar>
              <w:top w:w="90" w:type="dxa"/>
              <w:start w:w="110" w:type="dxa"/>
              <w:bottom w:w="90" w:type="dxa"/>
              <w:end w:w="110" w:type="dxa"/>
            </w:tcMar>
          </w:tcPr>
          <w:p>
            <w:pPr>
              <w:jc w:val="left"/>
            </w:pPr>
            <w:r>
              <w:rPr>
                <w:rFonts w:ascii="Liberation Mono" w:hAnsi="Liberation Mono"/>
                <w:sz w:val="17"/>
              </w:rPr>
              <w:t>src/causal/recommendations.py</w:t>
            </w:r>
          </w:p>
        </w:tc>
      </w:tr>
      <w:tr>
        <w:trPr>
          <w:cantSplit/>
        </w:trPr>
        <w:tc>
          <w:tcPr>
            <w:tcW w:type="dxa" w:w="4939"/>
            <w:vAlign w:val="center"/>
            <w:tcMar>
              <w:top w:w="90" w:type="dxa"/>
              <w:start w:w="110" w:type="dxa"/>
              <w:bottom w:w="90" w:type="dxa"/>
              <w:end w:w="110" w:type="dxa"/>
            </w:tcMar>
            <w:shd w:fill="EDF4F1"/>
          </w:tcPr>
          <w:p>
            <w:pPr>
              <w:jc w:val="left"/>
            </w:pPr>
            <w:r>
              <w:rPr>
                <w:rFonts w:ascii="Liberation Sans" w:hAnsi="Liberation Sans"/>
                <w:sz w:val="17"/>
              </w:rPr>
              <w:t>Estimand contract</w:t>
            </w:r>
          </w:p>
        </w:tc>
        <w:tc>
          <w:tcPr>
            <w:tcW w:type="dxa" w:w="4939"/>
            <w:vAlign w:val="center"/>
            <w:tcMar>
              <w:top w:w="90" w:type="dxa"/>
              <w:start w:w="110" w:type="dxa"/>
              <w:bottom w:w="90" w:type="dxa"/>
              <w:end w:w="110" w:type="dxa"/>
            </w:tcMar>
            <w:shd w:fill="EDF4F1"/>
          </w:tcPr>
          <w:p>
            <w:pPr>
              <w:jc w:val="left"/>
            </w:pPr>
            <w:r>
              <w:rPr>
                <w:rFonts w:ascii="Liberation Mono" w:hAnsi="Liberation Mono"/>
                <w:sz w:val="17"/>
              </w:rPr>
              <w:t>config/causal_estimand.json</w:t>
            </w:r>
            <w:r>
              <w:rPr>
                <w:rFonts w:ascii="Liberation Sans" w:hAnsi="Liberation Sans"/>
                <w:sz w:val="17"/>
              </w:rPr>
              <w:t xml:space="preserve"> and </w:t>
            </w:r>
            <w:r>
              <w:rPr>
                <w:rFonts w:ascii="Liberation Mono" w:hAnsi="Liberation Mono"/>
                <w:sz w:val="17"/>
              </w:rPr>
              <w:t>src/causal/estimand.py</w:t>
            </w:r>
          </w:p>
        </w:tc>
      </w:tr>
      <w:tr>
        <w:trPr>
          <w:cantSplit/>
        </w:trPr>
        <w:tc>
          <w:tcPr>
            <w:tcW w:type="dxa" w:w="4939"/>
            <w:vAlign w:val="center"/>
            <w:tcMar>
              <w:top w:w="90" w:type="dxa"/>
              <w:start w:w="110" w:type="dxa"/>
              <w:bottom w:w="90" w:type="dxa"/>
              <w:end w:w="110" w:type="dxa"/>
            </w:tcMar>
          </w:tcPr>
          <w:p>
            <w:pPr>
              <w:jc w:val="left"/>
            </w:pPr>
            <w:r>
              <w:rPr>
                <w:rFonts w:ascii="Liberation Sans" w:hAnsi="Liberation Sans"/>
                <w:sz w:val="17"/>
              </w:rPr>
              <w:t>Causal DAGs</w:t>
            </w:r>
          </w:p>
        </w:tc>
        <w:tc>
          <w:tcPr>
            <w:tcW w:type="dxa" w:w="4939"/>
            <w:vAlign w:val="center"/>
            <w:tcMar>
              <w:top w:w="90" w:type="dxa"/>
              <w:start w:w="110" w:type="dxa"/>
              <w:bottom w:w="90" w:type="dxa"/>
              <w:end w:w="110" w:type="dxa"/>
            </w:tcMar>
          </w:tcPr>
          <w:p>
            <w:pPr>
              <w:jc w:val="left"/>
            </w:pPr>
            <w:r>
              <w:rPr>
                <w:rFonts w:ascii="Liberation Mono" w:hAnsi="Liberation Mono"/>
                <w:sz w:val="17"/>
              </w:rPr>
              <w:t>src/causal/dag.py</w:t>
            </w:r>
            <w:r>
              <w:rPr>
                <w:rFonts w:ascii="Liberation Sans" w:hAnsi="Liberation Sans"/>
                <w:sz w:val="17"/>
              </w:rPr>
              <w:t xml:space="preserve"> and </w:t>
            </w:r>
            <w:r>
              <w:rPr>
                <w:rFonts w:ascii="Liberation Mono" w:hAnsi="Liberation Mono"/>
                <w:sz w:val="17"/>
              </w:rPr>
              <w:t>docs/causal_dag.md</w:t>
            </w:r>
          </w:p>
        </w:tc>
      </w:tr>
      <w:tr>
        <w:trPr>
          <w:cantSplit/>
        </w:trPr>
        <w:tc>
          <w:tcPr>
            <w:tcW w:type="dxa" w:w="4939"/>
            <w:vAlign w:val="center"/>
            <w:tcMar>
              <w:top w:w="90" w:type="dxa"/>
              <w:start w:w="110" w:type="dxa"/>
              <w:bottom w:w="90" w:type="dxa"/>
              <w:end w:w="110" w:type="dxa"/>
            </w:tcMar>
            <w:shd w:fill="EDF4F1"/>
          </w:tcPr>
          <w:p>
            <w:pPr>
              <w:jc w:val="left"/>
            </w:pPr>
            <w:r>
              <w:rPr>
                <w:rFonts w:ascii="Liberation Sans" w:hAnsi="Liberation Sans"/>
                <w:sz w:val="17"/>
              </w:rPr>
              <w:t>Causal feature mart</w:t>
            </w:r>
          </w:p>
        </w:tc>
        <w:tc>
          <w:tcPr>
            <w:tcW w:type="dxa" w:w="4939"/>
            <w:vAlign w:val="center"/>
            <w:tcMar>
              <w:top w:w="90" w:type="dxa"/>
              <w:start w:w="110" w:type="dxa"/>
              <w:bottom w:w="90" w:type="dxa"/>
              <w:end w:w="110" w:type="dxa"/>
            </w:tcMar>
            <w:shd w:fill="EDF4F1"/>
          </w:tcPr>
          <w:p>
            <w:pPr>
              <w:jc w:val="left"/>
            </w:pPr>
            <w:r>
              <w:rPr>
                <w:rFonts w:ascii="Liberation Mono" w:hAnsi="Liberation Mono"/>
                <w:sz w:val="17"/>
              </w:rPr>
              <w:t>config/causal_feature_mart.json</w:t>
            </w:r>
            <w:r>
              <w:rPr>
                <w:rFonts w:ascii="Liberation Sans" w:hAnsi="Liberation Sans"/>
                <w:sz w:val="17"/>
              </w:rPr>
              <w:t xml:space="preserve"> and </w:t>
            </w:r>
            <w:r>
              <w:rPr>
                <w:rFonts w:ascii="Liberation Mono" w:hAnsi="Liberation Mono"/>
                <w:sz w:val="17"/>
              </w:rPr>
              <w:t>src/causal/feature_mart.py</w:t>
            </w:r>
          </w:p>
        </w:tc>
      </w:tr>
      <w:tr>
        <w:trPr>
          <w:cantSplit/>
        </w:trPr>
        <w:tc>
          <w:tcPr>
            <w:tcW w:type="dxa" w:w="4939"/>
            <w:vAlign w:val="center"/>
            <w:tcMar>
              <w:top w:w="90" w:type="dxa"/>
              <w:start w:w="110" w:type="dxa"/>
              <w:bottom w:w="90" w:type="dxa"/>
              <w:end w:w="110" w:type="dxa"/>
            </w:tcMar>
          </w:tcPr>
          <w:p>
            <w:pPr>
              <w:jc w:val="left"/>
            </w:pPr>
            <w:r>
              <w:rPr>
                <w:rFonts w:ascii="Liberation Sans" w:hAnsi="Liberation Sans"/>
                <w:sz w:val="17"/>
              </w:rPr>
              <w:t>Connected-zone emissions</w:t>
            </w:r>
          </w:p>
        </w:tc>
        <w:tc>
          <w:tcPr>
            <w:tcW w:type="dxa" w:w="4939"/>
            <w:vAlign w:val="center"/>
            <w:tcMar>
              <w:top w:w="90" w:type="dxa"/>
              <w:start w:w="110" w:type="dxa"/>
              <w:bottom w:w="90" w:type="dxa"/>
              <w:end w:w="110" w:type="dxa"/>
            </w:tcMar>
          </w:tcPr>
          <w:p>
            <w:pPr>
              <w:jc w:val="left"/>
            </w:pPr>
            <w:r>
              <w:rPr>
                <w:rFonts w:ascii="Liberation Mono" w:hAnsi="Liberation Mono"/>
                <w:sz w:val="17"/>
              </w:rPr>
              <w:t>config/neighbor_emissions.json</w:t>
            </w:r>
            <w:r>
              <w:rPr>
                <w:rFonts w:ascii="Liberation Sans" w:hAnsi="Liberation Sans"/>
                <w:sz w:val="17"/>
              </w:rPr>
              <w:t xml:space="preserve"> and </w:t>
            </w:r>
            <w:r>
              <w:rPr>
                <w:rFonts w:ascii="Liberation Mono" w:hAnsi="Liberation Mono"/>
                <w:sz w:val="17"/>
              </w:rPr>
              <w:t>src/data/neighbor_emissions.py</w:t>
            </w:r>
          </w:p>
        </w:tc>
      </w:tr>
      <w:tr>
        <w:trPr>
          <w:cantSplit/>
        </w:trPr>
        <w:tc>
          <w:tcPr>
            <w:tcW w:type="dxa" w:w="4939"/>
            <w:vAlign w:val="center"/>
            <w:tcMar>
              <w:top w:w="90" w:type="dxa"/>
              <w:start w:w="110" w:type="dxa"/>
              <w:bottom w:w="90" w:type="dxa"/>
              <w:end w:w="110" w:type="dxa"/>
            </w:tcMar>
            <w:shd w:fill="EDF4F1"/>
          </w:tcPr>
          <w:p>
            <w:pPr>
              <w:jc w:val="left"/>
            </w:pPr>
            <w:r>
              <w:rPr>
                <w:rFonts w:ascii="Liberation Sans" w:hAnsi="Liberation Sans"/>
                <w:sz w:val="17"/>
              </w:rPr>
              <w:t>Forecast monitoring</w:t>
            </w:r>
          </w:p>
        </w:tc>
        <w:tc>
          <w:tcPr>
            <w:tcW w:type="dxa" w:w="4939"/>
            <w:vAlign w:val="center"/>
            <w:tcMar>
              <w:top w:w="90" w:type="dxa"/>
              <w:start w:w="110" w:type="dxa"/>
              <w:bottom w:w="90" w:type="dxa"/>
              <w:end w:w="110" w:type="dxa"/>
            </w:tcMar>
            <w:shd w:fill="EDF4F1"/>
          </w:tcPr>
          <w:p>
            <w:pPr>
              <w:jc w:val="left"/>
            </w:pPr>
            <w:r>
              <w:rPr>
                <w:rFonts w:ascii="Liberation Mono" w:hAnsi="Liberation Mono"/>
                <w:sz w:val="17"/>
              </w:rPr>
              <w:t>src/monitoring/forecast_monitor.py</w:t>
            </w:r>
          </w:p>
        </w:tc>
      </w:tr>
      <w:tr>
        <w:trPr>
          <w:cantSplit/>
        </w:trPr>
        <w:tc>
          <w:tcPr>
            <w:tcW w:type="dxa" w:w="4939"/>
            <w:vAlign w:val="center"/>
            <w:tcMar>
              <w:top w:w="90" w:type="dxa"/>
              <w:start w:w="110" w:type="dxa"/>
              <w:bottom w:w="90" w:type="dxa"/>
              <w:end w:w="110" w:type="dxa"/>
            </w:tcMar>
          </w:tcPr>
          <w:p>
            <w:pPr>
              <w:jc w:val="left"/>
            </w:pPr>
            <w:r>
              <w:rPr>
                <w:rFonts w:ascii="Liberation Sans" w:hAnsi="Liberation Sans"/>
                <w:sz w:val="17"/>
              </w:rPr>
              <w:t>Outcome audit</w:t>
            </w:r>
          </w:p>
        </w:tc>
        <w:tc>
          <w:tcPr>
            <w:tcW w:type="dxa" w:w="4939"/>
            <w:vAlign w:val="center"/>
            <w:tcMar>
              <w:top w:w="90" w:type="dxa"/>
              <w:start w:w="110" w:type="dxa"/>
              <w:bottom w:w="90" w:type="dxa"/>
              <w:end w:w="110" w:type="dxa"/>
            </w:tcMar>
          </w:tcPr>
          <w:p>
            <w:pPr>
              <w:jc w:val="left"/>
            </w:pPr>
            <w:r>
              <w:rPr>
                <w:rFonts w:ascii="Liberation Mono" w:hAnsi="Liberation Mono"/>
                <w:sz w:val="17"/>
              </w:rPr>
              <w:t>src/monitoring/recommendation_outcome_audit.py</w:t>
            </w:r>
          </w:p>
        </w:tc>
      </w:tr>
      <w:tr>
        <w:trPr>
          <w:cantSplit/>
        </w:trPr>
        <w:tc>
          <w:tcPr>
            <w:tcW w:type="dxa" w:w="4939"/>
            <w:vAlign w:val="center"/>
            <w:tcMar>
              <w:top w:w="90" w:type="dxa"/>
              <w:start w:w="110" w:type="dxa"/>
              <w:bottom w:w="90" w:type="dxa"/>
              <w:end w:w="110" w:type="dxa"/>
            </w:tcMar>
            <w:shd w:fill="EDF4F1"/>
          </w:tcPr>
          <w:p>
            <w:pPr>
              <w:jc w:val="left"/>
            </w:pPr>
            <w:r>
              <w:rPr>
                <w:rFonts w:ascii="Liberation Sans" w:hAnsi="Liberation Sans"/>
                <w:sz w:val="17"/>
              </w:rPr>
              <w:t>Promotion gate</w:t>
            </w:r>
          </w:p>
        </w:tc>
        <w:tc>
          <w:tcPr>
            <w:tcW w:type="dxa" w:w="4939"/>
            <w:vAlign w:val="center"/>
            <w:tcMar>
              <w:top w:w="90" w:type="dxa"/>
              <w:start w:w="110" w:type="dxa"/>
              <w:bottom w:w="90" w:type="dxa"/>
              <w:end w:w="110" w:type="dxa"/>
            </w:tcMar>
            <w:shd w:fill="EDF4F1"/>
          </w:tcPr>
          <w:p>
            <w:pPr>
              <w:jc w:val="left"/>
            </w:pPr>
            <w:r>
              <w:rPr>
                <w:rFonts w:ascii="Liberation Mono" w:hAnsi="Liberation Mono"/>
                <w:sz w:val="17"/>
              </w:rPr>
              <w:t>scripts/gated_retrain.py</w:t>
            </w:r>
          </w:p>
        </w:tc>
      </w:tr>
      <w:tr>
        <w:trPr>
          <w:cantSplit/>
        </w:trPr>
        <w:tc>
          <w:tcPr>
            <w:tcW w:type="dxa" w:w="4939"/>
            <w:vAlign w:val="center"/>
            <w:tcMar>
              <w:top w:w="90" w:type="dxa"/>
              <w:start w:w="110" w:type="dxa"/>
              <w:bottom w:w="90" w:type="dxa"/>
              <w:end w:w="110" w:type="dxa"/>
            </w:tcMar>
          </w:tcPr>
          <w:p>
            <w:pPr>
              <w:jc w:val="left"/>
            </w:pPr>
            <w:r>
              <w:rPr>
                <w:rFonts w:ascii="Liberation Sans" w:hAnsi="Liberation Sans"/>
                <w:sz w:val="17"/>
              </w:rPr>
              <w:t>Dashboard contract</w:t>
            </w:r>
          </w:p>
        </w:tc>
        <w:tc>
          <w:tcPr>
            <w:tcW w:type="dxa" w:w="4939"/>
            <w:vAlign w:val="center"/>
            <w:tcMar>
              <w:top w:w="90" w:type="dxa"/>
              <w:start w:w="110" w:type="dxa"/>
              <w:bottom w:w="90" w:type="dxa"/>
              <w:end w:w="110" w:type="dxa"/>
            </w:tcMar>
          </w:tcPr>
          <w:p>
            <w:pPr>
              <w:jc w:val="left"/>
            </w:pPr>
            <w:r>
              <w:rPr>
                <w:rFonts w:ascii="Liberation Mono" w:hAnsi="Liberation Mono"/>
                <w:sz w:val="17"/>
              </w:rPr>
              <w:t>scripts/build_dashboard_data.py</w:t>
            </w:r>
          </w:p>
        </w:tc>
      </w:tr>
      <w:tr>
        <w:trPr>
          <w:cantSplit/>
        </w:trPr>
        <w:tc>
          <w:tcPr>
            <w:tcW w:type="dxa" w:w="4939"/>
            <w:vAlign w:val="center"/>
            <w:tcMar>
              <w:top w:w="90" w:type="dxa"/>
              <w:start w:w="110" w:type="dxa"/>
              <w:bottom w:w="90" w:type="dxa"/>
              <w:end w:w="110" w:type="dxa"/>
            </w:tcMar>
            <w:shd w:fill="EDF4F1"/>
          </w:tcPr>
          <w:p>
            <w:pPr>
              <w:jc w:val="left"/>
            </w:pPr>
            <w:r>
              <w:rPr>
                <w:rFonts w:ascii="Liberation Sans" w:hAnsi="Liberation Sans"/>
                <w:sz w:val="17"/>
              </w:rPr>
              <w:t>Daily workflow</w:t>
            </w:r>
          </w:p>
        </w:tc>
        <w:tc>
          <w:tcPr>
            <w:tcW w:type="dxa" w:w="4939"/>
            <w:vAlign w:val="center"/>
            <w:tcMar>
              <w:top w:w="90" w:type="dxa"/>
              <w:start w:w="110" w:type="dxa"/>
              <w:bottom w:w="90" w:type="dxa"/>
              <w:end w:w="110" w:type="dxa"/>
            </w:tcMar>
            <w:shd w:fill="EDF4F1"/>
          </w:tcPr>
          <w:p>
            <w:pPr>
              <w:jc w:val="left"/>
            </w:pPr>
            <w:r>
              <w:rPr>
                <w:rFonts w:ascii="Liberation Mono" w:hAnsi="Liberation Mono"/>
                <w:sz w:val="17"/>
              </w:rPr>
              <w:t>.github/workflows/daily-ingestion-monitor.yml</w:t>
            </w:r>
          </w:p>
        </w:tc>
      </w:tr>
    </w:tbl>
    <w:p>
      <w:pPr>
        <w:spacing w:after="20"/>
      </w:pPr>
    </w:p>
    <w:p>
      <w:pPr>
        <w:pStyle w:val="Heading1"/>
        <w:keepNext/>
      </w:pPr>
      <w:r>
        <w:rPr>
          <w:rFonts w:ascii="Liberation Sans" w:hAnsi="Liberation Sans"/>
        </w:rPr>
        <w:t>Running Document Update Checklist</w:t>
      </w:r>
    </w:p>
    <w:p>
      <w:pPr>
        <w:widowControl/>
      </w:pPr>
      <w:r>
        <w:rPr>
          <w:rFonts w:ascii="Liberation Sans" w:hAnsi="Liberation Sans"/>
        </w:rPr>
        <w:t>Update this handbook when any of the following changes:</w:t>
      </w:r>
    </w:p>
    <w:p>
      <w:pPr>
        <w:widowControl/>
        <w:spacing w:after="0" w:line="240" w:lineRule="auto"/>
        <w:ind w:left="346" w:hanging="346"/>
      </w:pPr>
      <w:r>
        <w:rPr>
          <w:rFonts w:ascii="Liberation Sans" w:hAnsi="Liberation Sans"/>
          <w:sz w:val="20"/>
        </w:rPr>
        <w:t>1. Data source, geographic resolution, storage policy, or timestamp convention.</w:t>
      </w:r>
    </w:p>
    <w:p>
      <w:pPr>
        <w:widowControl/>
        <w:spacing w:after="0" w:line="240" w:lineRule="auto"/>
        <w:ind w:left="346" w:hanging="346"/>
      </w:pPr>
      <w:r>
        <w:rPr>
          <w:rFonts w:ascii="Liberation Sans" w:hAnsi="Liberation Sans"/>
          <w:sz w:val="20"/>
        </w:rPr>
        <w:t>2. Forecast target, feature availability rule, validation design, or model family.</w:t>
      </w:r>
    </w:p>
    <w:p>
      <w:pPr>
        <w:widowControl/>
        <w:spacing w:after="0" w:line="240" w:lineRule="auto"/>
        <w:ind w:left="346" w:hanging="346"/>
      </w:pPr>
      <w:r>
        <w:rPr>
          <w:rFonts w:ascii="Liberation Sans" w:hAnsi="Liberation Sans"/>
          <w:sz w:val="20"/>
        </w:rPr>
        <w:t>3. Recommendation score, scenario weight, uncertainty threshold, confidence calibration, or champion rule.</w:t>
      </w:r>
    </w:p>
    <w:p>
      <w:pPr>
        <w:widowControl/>
        <w:spacing w:after="0" w:line="240" w:lineRule="auto"/>
        <w:ind w:left="346" w:hanging="346"/>
      </w:pPr>
      <w:r>
        <w:rPr>
          <w:rFonts w:ascii="Liberation Sans" w:hAnsi="Liberation Sans"/>
          <w:sz w:val="20"/>
        </w:rPr>
        <w:t>4. Carbon accounting boundary or emission-factor methodology.</w:t>
      </w:r>
    </w:p>
    <w:p>
      <w:pPr>
        <w:widowControl/>
        <w:spacing w:after="0" w:line="240" w:lineRule="auto"/>
        <w:ind w:left="346" w:hanging="346"/>
      </w:pPr>
      <w:r>
        <w:rPr>
          <w:rFonts w:ascii="Liberation Sans" w:hAnsi="Liberation Sans"/>
          <w:sz w:val="20"/>
        </w:rPr>
        <w:t>5. Causal treatment, comparator, outcome, adjustment set, estimator, or evidence tier.</w:t>
      </w:r>
    </w:p>
    <w:p>
      <w:pPr>
        <w:widowControl/>
        <w:spacing w:after="0" w:line="240" w:lineRule="auto"/>
        <w:ind w:left="346" w:hanging="346"/>
      </w:pPr>
      <w:r>
        <w:rPr>
          <w:rFonts w:ascii="Liberation Sans" w:hAnsi="Liberation Sans"/>
          <w:sz w:val="20"/>
        </w:rPr>
        <w:t>6. Operational audit, retraining trigger, promotion gate, or deployment workflow.</w:t>
      </w:r>
    </w:p>
    <w:p>
      <w:pPr>
        <w:widowControl/>
        <w:spacing w:after="0" w:line="240" w:lineRule="auto"/>
        <w:ind w:left="346" w:hanging="346"/>
      </w:pPr>
      <w:r>
        <w:rPr>
          <w:rFonts w:ascii="Liberation Sans" w:hAnsi="Liberation Sans"/>
          <w:sz w:val="20"/>
        </w:rPr>
        <w:t>7. Dashboard terminology that changes the meaning of a metric.</w:t>
      </w:r>
    </w:p>
    <w:p>
      <w:pPr>
        <w:widowControl/>
      </w:pPr>
      <w:r>
        <w:rPr>
          <w:rFonts w:ascii="Liberation Sans" w:hAnsi="Liberation Sans"/>
        </w:rPr>
        <w:t>Regenerate the handbook after editing this Markdown source:</w:t>
      </w:r>
    </w:p>
    <w:p>
      <w:pPr>
        <w:spacing w:before="80" w:after="140" w:line="240" w:lineRule="auto"/>
        <w:ind w:left="403" w:right="403"/>
        <w:shd w:fill="F3F5F4"/>
      </w:pPr>
      <w:r>
        <w:rPr>
          <w:rFonts w:ascii="Liberation Mono" w:hAnsi="Liberation Mono"/>
          <w:sz w:val="17"/>
        </w:rPr>
        <w:t>make methodology-handbook</w:t>
      </w:r>
    </w:p>
    <w:p>
      <w:pPr>
        <w:pStyle w:val="Heading1"/>
        <w:keepNext/>
        <w:pageBreakBefore/>
      </w:pPr>
      <w:r>
        <w:rPr>
          <w:rFonts w:ascii="Liberation Sans" w:hAnsi="Liberation Sans"/>
        </w:rPr>
        <w:t>Research References</w:t>
      </w:r>
    </w:p>
    <w:p>
      <w:pPr>
        <w:widowControl/>
      </w:pPr>
      <w:r>
        <w:rPr>
          <w:rFonts w:ascii="Liberation Sans" w:hAnsi="Liberation Sans"/>
        </w:rPr>
        <w:t>Athey S Tibshirani J and Wager S. Generalized Random Forests. Annals of Statistics 2019. https://doi.org/10.1214/18-AOS1709</w:t>
      </w:r>
    </w:p>
    <w:p>
      <w:pPr>
        <w:widowControl/>
      </w:pPr>
      <w:r>
        <w:rPr>
          <w:rFonts w:ascii="Liberation Sans" w:hAnsi="Liberation Sans"/>
        </w:rPr>
        <w:t>Athey S and Wager S. Policy Learning with Observational Data. Econometrica 2021. https://doi.org/10.3982/ECTA15732</w:t>
      </w:r>
    </w:p>
    <w:p>
      <w:pPr>
        <w:widowControl/>
      </w:pPr>
      <w:r>
        <w:rPr>
          <w:rFonts w:ascii="Liberation Sans" w:hAnsi="Liberation Sans"/>
        </w:rPr>
        <w:t>Chernozhukov V and others. Double Debiased Machine Learning for Treatment and Structural Parameters. The Econometrics Journal 2018. https://doi.org/10.1111/ectj.12097</w:t>
      </w:r>
    </w:p>
    <w:p>
      <w:pPr>
        <w:widowControl/>
      </w:pPr>
      <w:r>
        <w:rPr>
          <w:rFonts w:ascii="Liberation Sans" w:hAnsi="Liberation Sans"/>
        </w:rPr>
        <w:t>Cinelli C and Hazlett C. Making Sense of Sensitivity Extending Omitted Variable Bias. Journal of the Royal Statistical Society Series B 2020. https://doi.org/10.1111/rssb.12348</w:t>
      </w:r>
    </w:p>
    <w:p>
      <w:pPr>
        <w:widowControl/>
      </w:pPr>
      <w:r>
        <w:rPr>
          <w:rFonts w:ascii="Liberation Sans" w:hAnsi="Liberation Sans"/>
        </w:rPr>
        <w:t>Dudik M Langford J and Li L. Doubly Robust Policy Evaluation and Learning. ICML 2011. https://icml.cc/2011/papers/554_icmlpaper.pdf</w:t>
      </w:r>
    </w:p>
    <w:p>
      <w:pPr>
        <w:widowControl/>
      </w:pPr>
      <w:r>
        <w:rPr>
          <w:rFonts w:ascii="Liberation Sans" w:hAnsi="Liberation Sans"/>
        </w:rPr>
        <w:t>Hawkes A D. Estimating Marginal CO2 Emissions Rates for National Electricity Systems. Energy Policy 2010. https://doi.org/10.1016/j.enpol.2010.05.053</w:t>
      </w:r>
    </w:p>
    <w:p>
      <w:pPr>
        <w:widowControl/>
      </w:pPr>
      <w:r>
        <w:rPr>
          <w:rFonts w:ascii="Liberation Sans" w:hAnsi="Liberation Sans"/>
        </w:rPr>
        <w:t>Holland S P Mansur E T Verdier V and Yates A J. Regularization from Economic Constraints A New Estimator for Marginal Emissions. NBER Working Paper 32065 2024. https://doi.org/10.3386/w32065</w:t>
      </w:r>
    </w:p>
    <w:p>
      <w:pPr>
        <w:widowControl/>
      </w:pPr>
      <w:r>
        <w:rPr>
          <w:rFonts w:ascii="Liberation Sans" w:hAnsi="Liberation Sans"/>
        </w:rPr>
        <w:t>Huber J and others. The Effect of Price Based Demand Response on Carbon Emissions in European Electricity Markets. Applied Energy 2021. https://doi.org/10.1016/j.apenergy.2021.117040</w:t>
      </w:r>
    </w:p>
    <w:p>
      <w:pPr>
        <w:widowControl/>
      </w:pPr>
      <w:r>
        <w:rPr>
          <w:rFonts w:ascii="Liberation Sans" w:hAnsi="Liberation Sans"/>
        </w:rPr>
        <w:t>Horsch J Hofmann F Schlachtberger D and Brown T. PyPSA Eur An Open Optimisation Model of the European Transmission System. Energy Strategy Reviews 2018. https://doi.org/10.1016/j.esr.2018.08.012</w:t>
      </w:r>
    </w:p>
    <w:p>
      <w:pPr>
        <w:widowControl/>
      </w:pPr>
      <w:r>
        <w:rPr>
          <w:rFonts w:ascii="Liberation Sans" w:hAnsi="Liberation Sans"/>
        </w:rPr>
        <w:t>Lipsitch M Tchetgen Tchetgen E and Cohen T. Negative Controls A Tool for Detecting Confounding and Bias in Observational Studies. Epidemiology 2010. https://doi.org/10.1097/EDE.0b013e3181d61eeb</w:t>
      </w:r>
    </w:p>
    <w:p>
      <w:pPr>
        <w:widowControl/>
      </w:pPr>
      <w:r>
        <w:rPr>
          <w:rFonts w:ascii="Liberation Sans" w:hAnsi="Liberation Sans"/>
        </w:rPr>
        <w:t>Siler Evans K Azevedo I L Morgan M G and Apt J. Regional Variations in the Health Environmental and Climate Benefits of Wind and Solar Generation. Proceedings of the National Academy of Sciences 2013. https://doi.org/10.1073/pnas.1221978110</w:t>
      </w:r>
    </w:p>
    <w:p>
      <w:pPr>
        <w:widowControl/>
      </w:pPr>
      <w:r>
        <w:rPr>
          <w:rFonts w:ascii="Liberation Sans" w:hAnsi="Liberation Sans"/>
        </w:rPr>
        <w:t>Validity Ranges of Locational Marginal Emission Factors for the Environmental Assessment of Electric Load Shifting. Applied Energy 2025. https://doi.org/10.1016/j.apenergy.2024.125069</w:t>
      </w:r>
    </w:p>
    <w:sectPr w:rsidR="00FC693F" w:rsidRPr="0006063C" w:rsidSect="00034616">
      <w:footerReference w:type="default" r:id="rId9"/>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gridCol w:w="1656"/>
    </w:tblGrid>
    <w:tr>
      <w:tc>
        <w:tcPr>
          <w:tcW w:type="dxa" w:w="4680"/>
        </w:tcPr>
        <w:p>
          <w:pPr>
            <w:jc w:val="left"/>
          </w:pPr>
          <w:r>
            <w:rPr>
              <w:rFonts w:ascii="Liberation Sans" w:hAnsi="Liberation Sans"/>
              <w:color w:val="5E6B65"/>
              <w:sz w:val="16"/>
            </w:rPr>
            <w:t>Causal Energy Intelligence Methodology Handbook</w:t>
          </w:r>
        </w:p>
      </w:tc>
      <w:tc>
        <w:tcPr>
          <w:tcW w:type="dxa" w:w="4680"/>
        </w:tcPr>
        <w:p>
          <w:pPr>
            <w:jc w:val="right"/>
          </w:pPr>
          <w:r>
            <w:rPr>
              <w:rFonts w:ascii="Liberation Sans" w:hAnsi="Liberation Sans"/>
              <w:color w:val="5E6B65"/>
              <w:sz w:val="16"/>
            </w:rPr>
            <w:t xml:space="preserve">Page </w:t>
          </w:r>
          <w:fldSimple w:instr="PAGE"/>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Liberation Sans" w:hAnsi="Liberation Sans"/>
      <w:color w:val="17211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Liberation Sans" w:hAnsi="Liberation San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Liberation Sans" w:hAnsi="Liberation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Liberation Sans" w:hAnsi="Liberation San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Liberation Sans" w:hAnsi="Liberation Sans"/>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Liberation Sans" w:hAnsi="Liberation Sans"/>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Causal Energy Intelligence Methodology Handbook</dc:title>
  <dc:subject>Forecasting recommendations causal inference and operations</dc:subject>
  <dc:creator>Causal Energy Intelligence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