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color w:val="718096"/>
          <w:sz w:val="24"/>
        </w:rPr>
        <w:t>B.TECH COMPUTER SCIENCE &amp; ENGINEERING MINI-PROJECT REPORT</w:t>
      </w:r>
    </w:p>
    <w:p>
      <w:pPr>
        <w:spacing w:before="200" w:after="240"/>
        <w:jc w:val="center"/>
      </w:pPr>
      <w:r>
        <w:rPr>
          <w:rFonts w:ascii="Calibri" w:hAnsi="Calibri"/>
          <w:b/>
          <w:color w:val="1A365D"/>
          <w:sz w:val="44"/>
        </w:rPr>
        <w:t>PHISHGUARD: PHISHING WEBSITE DETECTION SYSTEM USING MACHINE LEARNING</w:t>
      </w:r>
    </w:p>
    <w:p>
      <w:pPr>
        <w:spacing w:after="800"/>
        <w:jc w:val="center"/>
      </w:pPr>
      <w:r>
        <w:rPr>
          <w:rFonts w:ascii="Calibri" w:hAnsi="Calibri"/>
          <w:i/>
          <w:color w:val="4A5568"/>
          <w:sz w:val="24"/>
        </w:rPr>
        <w:t>An Empirical Investigation of Multi-Modal Cybersecurity Website Telemetry</w:t>
        <w:br/>
        <w:t>and Heuristic Lexical URL Inspection</w:t>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pPr>
              <w:spacing w:after="0"/>
            </w:pPr>
            <w:r>
              <w:rPr>
                <w:rFonts w:ascii="Calibri" w:hAnsi="Calibri"/>
                <w:b/>
                <w:color w:val="1A365D"/>
                <w:sz w:val="21"/>
              </w:rPr>
              <w:t>Submitted By:</w:t>
            </w:r>
          </w:p>
        </w:tc>
        <w:tc>
          <w:tcPr>
            <w:tcW w:type="dxa" w:w="5760"/>
            <w:tcMar>
              <w:top w:w="60" w:type="dxa"/>
              <w:bottom w:w="60" w:type="dxa"/>
              <w:left w:w="100" w:type="dxa"/>
              <w:right w:w="100" w:type="dxa"/>
            </w:tcMar>
          </w:tcPr>
          <w:p>
            <w:pPr>
              <w:spacing w:after="0"/>
            </w:pPr>
            <w:r>
              <w:rPr>
                <w:rFonts w:ascii="Calibri" w:hAnsi="Calibri"/>
                <w:color w:val="2D3748"/>
                <w:sz w:val="21"/>
              </w:rPr>
              <w:t>Saransh</w:t>
            </w:r>
          </w:p>
        </w:tc>
      </w:tr>
      <w:tr>
        <w:tc>
          <w:tcPr>
            <w:tcW w:type="dxa" w:w="3168"/>
            <w:tcMar>
              <w:top w:w="60" w:type="dxa"/>
              <w:bottom w:w="60" w:type="dxa"/>
              <w:left w:w="100" w:type="dxa"/>
              <w:right w:w="100" w:type="dxa"/>
            </w:tcMar>
          </w:tcPr>
          <w:p>
            <w:pPr>
              <w:spacing w:after="0"/>
            </w:pPr>
            <w:r>
              <w:rPr>
                <w:rFonts w:ascii="Calibri" w:hAnsi="Calibri"/>
                <w:b/>
                <w:color w:val="1A365D"/>
                <w:sz w:val="21"/>
              </w:rPr>
              <w:t>Enrollment / Roll No:</w:t>
            </w:r>
          </w:p>
        </w:tc>
        <w:tc>
          <w:tcPr>
            <w:tcW w:type="dxa" w:w="5760"/>
            <w:tcMar>
              <w:top w:w="60" w:type="dxa"/>
              <w:bottom w:w="60" w:type="dxa"/>
              <w:left w:w="100" w:type="dxa"/>
              <w:right w:w="100" w:type="dxa"/>
            </w:tcMar>
          </w:tcPr>
          <w:p>
            <w:pPr>
              <w:spacing w:after="0"/>
            </w:pPr>
            <w:r>
              <w:rPr>
                <w:rFonts w:ascii="Calibri" w:hAnsi="Calibri"/>
                <w:color w:val="2D3748"/>
                <w:sz w:val="21"/>
              </w:rPr>
              <w:t>[Enrollment Number Placeholder]</w:t>
            </w:r>
          </w:p>
        </w:tc>
      </w:tr>
      <w:tr>
        <w:tc>
          <w:tcPr>
            <w:tcW w:type="dxa" w:w="3168"/>
            <w:tcMar>
              <w:top w:w="60" w:type="dxa"/>
              <w:bottom w:w="60" w:type="dxa"/>
              <w:left w:w="100" w:type="dxa"/>
              <w:right w:w="100" w:type="dxa"/>
            </w:tcMar>
          </w:tcPr>
          <w:p>
            <w:pPr>
              <w:spacing w:after="0"/>
            </w:pPr>
            <w:r>
              <w:rPr>
                <w:rFonts w:ascii="Calibri" w:hAnsi="Calibri"/>
                <w:b/>
                <w:color w:val="1A365D"/>
                <w:sz w:val="21"/>
              </w:rPr>
              <w:t>Course &amp; Branch:</w:t>
            </w:r>
          </w:p>
        </w:tc>
        <w:tc>
          <w:tcPr>
            <w:tcW w:type="dxa" w:w="5760"/>
            <w:tcMar>
              <w:top w:w="60" w:type="dxa"/>
              <w:bottom w:w="60" w:type="dxa"/>
              <w:left w:w="100" w:type="dxa"/>
              <w:right w:w="100" w:type="dxa"/>
            </w:tcMar>
          </w:tcPr>
          <w:p>
            <w:pPr>
              <w:spacing w:after="0"/>
            </w:pPr>
            <w:r>
              <w:rPr>
                <w:rFonts w:ascii="Calibri" w:hAnsi="Calibri"/>
                <w:color w:val="2D3748"/>
                <w:sz w:val="21"/>
              </w:rPr>
              <w:t>B.Tech Computer Science &amp; Engineering (3rd Year)</w:t>
            </w:r>
          </w:p>
        </w:tc>
      </w:tr>
      <w:tr>
        <w:tc>
          <w:tcPr>
            <w:tcW w:type="dxa" w:w="3168"/>
            <w:tcMar>
              <w:top w:w="60" w:type="dxa"/>
              <w:bottom w:w="60" w:type="dxa"/>
              <w:left w:w="100" w:type="dxa"/>
              <w:right w:w="100" w:type="dxa"/>
            </w:tcMar>
          </w:tcPr>
          <w:p>
            <w:pPr>
              <w:spacing w:after="0"/>
            </w:pPr>
            <w:r>
              <w:rPr>
                <w:rFonts w:ascii="Calibri" w:hAnsi="Calibri"/>
                <w:b/>
                <w:color w:val="1A365D"/>
                <w:sz w:val="21"/>
              </w:rPr>
              <w:t>Faculty Guide / Mentor:</w:t>
            </w:r>
          </w:p>
        </w:tc>
        <w:tc>
          <w:tcPr>
            <w:tcW w:type="dxa" w:w="5760"/>
            <w:tcMar>
              <w:top w:w="60" w:type="dxa"/>
              <w:bottom w:w="60" w:type="dxa"/>
              <w:left w:w="100" w:type="dxa"/>
              <w:right w:w="100" w:type="dxa"/>
            </w:tcMar>
          </w:tcPr>
          <w:p>
            <w:pPr>
              <w:spacing w:after="0"/>
            </w:pPr>
            <w:r>
              <w:rPr>
                <w:rFonts w:ascii="Calibri" w:hAnsi="Calibri"/>
                <w:color w:val="2D3748"/>
                <w:sz w:val="21"/>
              </w:rPr>
              <w:t>[Faculty Guide / Supervisor Name Placeholder]</w:t>
            </w:r>
          </w:p>
        </w:tc>
      </w:tr>
      <w:tr>
        <w:tc>
          <w:tcPr>
            <w:tcW w:type="dxa" w:w="3168"/>
            <w:tcMar>
              <w:top w:w="60" w:type="dxa"/>
              <w:bottom w:w="60" w:type="dxa"/>
              <w:left w:w="100" w:type="dxa"/>
              <w:right w:w="100" w:type="dxa"/>
            </w:tcMar>
          </w:tcPr>
          <w:p>
            <w:pPr>
              <w:spacing w:after="0"/>
            </w:pPr>
            <w:r>
              <w:rPr>
                <w:rFonts w:ascii="Calibri" w:hAnsi="Calibri"/>
                <w:b/>
                <w:color w:val="1A365D"/>
                <w:sz w:val="21"/>
              </w:rPr>
              <w:t>Department:</w:t>
            </w:r>
          </w:p>
        </w:tc>
        <w:tc>
          <w:tcPr>
            <w:tcW w:type="dxa" w:w="5760"/>
            <w:tcMar>
              <w:top w:w="60" w:type="dxa"/>
              <w:bottom w:w="60" w:type="dxa"/>
              <w:left w:w="100" w:type="dxa"/>
              <w:right w:w="100" w:type="dxa"/>
            </w:tcMar>
          </w:tcPr>
          <w:p>
            <w:pPr>
              <w:spacing w:after="0"/>
            </w:pPr>
            <w:r>
              <w:rPr>
                <w:rFonts w:ascii="Calibri" w:hAnsi="Calibri"/>
                <w:color w:val="2D3748"/>
                <w:sz w:val="21"/>
              </w:rPr>
              <w:t>Department of Computer Science &amp; Engineering</w:t>
            </w:r>
          </w:p>
        </w:tc>
      </w:tr>
      <w:tr>
        <w:tc>
          <w:tcPr>
            <w:tcW w:type="dxa" w:w="3168"/>
            <w:tcMar>
              <w:top w:w="60" w:type="dxa"/>
              <w:bottom w:w="60" w:type="dxa"/>
              <w:left w:w="100" w:type="dxa"/>
              <w:right w:w="100" w:type="dxa"/>
            </w:tcMar>
          </w:tcPr>
          <w:p>
            <w:pPr>
              <w:spacing w:after="0"/>
            </w:pPr>
            <w:r>
              <w:rPr>
                <w:rFonts w:ascii="Calibri" w:hAnsi="Calibri"/>
                <w:b/>
                <w:color w:val="1A365D"/>
                <w:sz w:val="21"/>
              </w:rPr>
              <w:t>Institution / University:</w:t>
            </w:r>
          </w:p>
        </w:tc>
        <w:tc>
          <w:tcPr>
            <w:tcW w:type="dxa" w:w="5760"/>
            <w:tcMar>
              <w:top w:w="60" w:type="dxa"/>
              <w:bottom w:w="60" w:type="dxa"/>
              <w:left w:w="100" w:type="dxa"/>
              <w:right w:w="100" w:type="dxa"/>
            </w:tcMar>
          </w:tcPr>
          <w:p>
            <w:pPr>
              <w:spacing w:after="0"/>
            </w:pPr>
            <w:r>
              <w:rPr>
                <w:rFonts w:ascii="Calibri" w:hAnsi="Calibri"/>
                <w:color w:val="2D3748"/>
                <w:sz w:val="21"/>
              </w:rPr>
              <w:t>[College / University Name Placeholder]</w:t>
            </w:r>
          </w:p>
        </w:tc>
      </w:tr>
    </w:tbl>
    <w:p>
      <w:pPr>
        <w:spacing w:before="1600"/>
        <w:jc w:val="center"/>
      </w:pPr>
      <w:r>
        <w:rPr>
          <w:rFonts w:ascii="Calibri" w:hAnsi="Calibri"/>
          <w:color w:val="718096"/>
          <w:sz w:val="20"/>
        </w:rPr>
        <w:t>Academic Year: 2025–2026</w:t>
        <w:br/>
        <w:t>Submission Date: October 2026</w:t>
      </w:r>
    </w:p>
    <w:p>
      <w:r>
        <w:br w:type="page"/>
      </w:r>
    </w:p>
    <w:p>
      <w:pPr>
        <w:keepNext/>
        <w:spacing w:before="360" w:after="160"/>
      </w:pPr>
      <w:r>
        <w:rPr>
          <w:rFonts w:ascii="Calibri" w:hAnsi="Calibri"/>
          <w:b/>
          <w:color w:val="1A365D"/>
          <w:sz w:val="32"/>
        </w:rPr>
        <w:t>ABSTRACT</w:t>
      </w:r>
    </w:p>
    <w:p>
      <w:pPr>
        <w:spacing w:before="0" w:after="120" w:line="276" w:lineRule="auto"/>
      </w:pPr>
      <w:r>
        <w:rPr>
          <w:rFonts w:ascii="Calibri" w:hAnsi="Calibri"/>
          <w:color w:val="2D3748"/>
          <w:sz w:val="22"/>
        </w:rPr>
        <w:t>Phishing represents one of the most pervasive, stealthy, and commercially destructive vectors in modern cybercrime. Attackers routinely deploy deceptive websites that spoof legitimate commercial and financial portals, tricking unsuspecting victims into surrendering confidential credentials and payment information. Traditional security defenses based on static domain blacklists suffer from fundamental limitations: they are inherently reactive, failing to intercept newly registered, short-lived phishing sites (zero-day phishing) before victimization occurs.</w:t>
      </w:r>
    </w:p>
    <w:p>
      <w:pPr>
        <w:spacing w:before="0" w:after="120" w:line="276" w:lineRule="auto"/>
      </w:pPr>
      <w:r>
        <w:rPr>
          <w:rFonts w:ascii="Calibri" w:hAnsi="Calibri"/>
          <w:color w:val="2D3748"/>
          <w:sz w:val="22"/>
        </w:rPr>
        <w:t>This project, titled PhishGuard, designs, implements, and evaluates a dual-engine phishing website detection system tailored for academic rigor and practical cyber defense. The primary classification engine leverages supervised Machine Learning algorithms trained on the benchmark UCI Phishing Websites Dataset (ID: 327, Mohammad et al., 2012), comprising 11,055 instances and 30 multi-modal features capturing URL syntax, SSL certificate trustworthiness, DNS parameters, and webpage DOM hyperlinks. Through a rigorously controlled, stratified 80/20 train-test split, three models were evaluated: a Dummy baseline classifier, Logistic Regression, and a Random Forest Classifier.</w:t>
      </w:r>
    </w:p>
    <w:p>
      <w:pPr>
        <w:spacing w:before="0" w:after="120" w:line="276" w:lineRule="auto"/>
      </w:pPr>
      <w:r>
        <w:rPr>
          <w:rFonts w:ascii="Calibri" w:hAnsi="Calibri"/>
          <w:color w:val="2D3748"/>
          <w:sz w:val="22"/>
        </w:rPr>
        <w:t>Experimental evaluations demonstrate that the Random Forest model achieves superior performance, attaining 97.01% accuracy, 97.41% precision, 95.82% recall, an F1-score of 96.60%, and an outstanding ROC-AUC of 0.9968 on unseen test data (catching 939 out of 980 phishing websites). Gini feature importance demonstrates that SSL certificate validity (sslfinal_state, 33.49%) and anchor URL discrepancies (url_of_anchor, 26.59%) are the two most decisive discriminative indicators. To complement the telemetry classifier, PhishGuard also implements a transparent, zero-dependency rule-based lexical URL analyzer (analyze_url) capable of safely evaluating arbitrary raw URLs offline. This report provides complete methodology, architecture, reproducible experimental results, viva voce preparation notes, and future enhancement paths.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top w:val="none"/>
              <w:left w:val="single" w:sz="24" w:space="0" w:color="1A365D"/>
              <w:bottom w:val="none"/>
              <w:right w:val="none"/>
            </w:tcBorders>
          </w:tcPr>
          <w:p>
            <w:pPr>
              <w:spacing w:before="40" w:after="80"/>
            </w:pPr>
            <w:r>
              <w:rPr>
                <w:rFonts w:ascii="Calibri" w:hAnsi="Calibri"/>
                <w:b/>
                <w:color w:val="1A365D"/>
                <w:sz w:val="20"/>
              </w:rPr>
              <w:t>🔒 EXECUTIVE SUMMARY</w:t>
              <w:br/>
            </w:r>
            <w:r>
              <w:rPr>
                <w:rFonts w:ascii="Calibri" w:hAnsi="Calibri"/>
                <w:i/>
                <w:color w:val="2D3748"/>
                <w:sz w:val="19"/>
              </w:rPr>
              <w:t>Key Quantitative Takeaway: The Random Forest classifier demonstrated an extraordinary ability to discriminate between legitimate and phishing web instances, achieving 97.01% Accuracy, 95.82% Recall, and 0.9968 ROC-AUC, outperforming the Logistic Regression baseline (92.76% Accuracy) and the Dummy classifier (55.68% Accuracy).</w:t>
            </w:r>
          </w:p>
        </w:tc>
      </w:tr>
    </w:tbl>
    <w:p>
      <w:pPr>
        <w:spacing w:after="120"/>
      </w:pPr>
    </w:p>
    <w:p>
      <w:pPr>
        <w:keepNext/>
        <w:spacing w:before="360" w:after="160"/>
      </w:pPr>
      <w:r>
        <w:rPr>
          <w:rFonts w:ascii="Calibri" w:hAnsi="Calibri"/>
          <w:b/>
          <w:color w:val="1A365D"/>
          <w:sz w:val="32"/>
        </w:rPr>
        <w:t>1. INTRODUCTION</w:t>
      </w:r>
    </w:p>
    <w:p>
      <w:pPr>
        <w:spacing w:before="0" w:after="120" w:line="276" w:lineRule="auto"/>
      </w:pPr>
      <w:r>
        <w:rPr>
          <w:rFonts w:ascii="Calibri" w:hAnsi="Calibri"/>
          <w:color w:val="2D3748"/>
          <w:sz w:val="22"/>
        </w:rPr>
        <w:t>In the contemporary digital economy, web browsers serve as the ubiquitous gateway for banking, corporate collaboration, e-commerce, and healthcare services. Concurrently, web-based social engineering attacks—most notably phishing—have surged in scale and sophistication. According to reports from the Anti-Phishing Working Group (APWG) and cybersecurity agencies worldwide, phishing accounts for over 80% of reported security incidents and remains the primary gateway for enterprise credential theft, business email compromise (BEC), and ransomware deployments.</w:t>
      </w:r>
    </w:p>
    <w:p>
      <w:pPr>
        <w:spacing w:before="0" w:after="120" w:line="276" w:lineRule="auto"/>
      </w:pPr>
      <w:r>
        <w:rPr>
          <w:rFonts w:ascii="Calibri" w:hAnsi="Calibri"/>
          <w:color w:val="2D3748"/>
          <w:sz w:val="22"/>
        </w:rPr>
        <w:t>A typical phishing attack begins with an enticing or urgent communication (email, SMS, or QR code) directing the victim to an illicit website that visually mirrors an authentic enterprise portal. Unsuspecting users submit usernames, multi-factor authentication (MFA) tokens, and financial data directly to the attacker. While user awareness training is vital, human vigilance is fallible, especially against sophisticated typosquatting and visual deception. Consequently, automated, real-time technical defense mechanisms are essential to intercept users before data exfiltration occurs.</w:t>
      </w:r>
    </w:p>
    <w:p>
      <w:pPr>
        <w:spacing w:before="0" w:after="120" w:line="276" w:lineRule="auto"/>
      </w:pPr>
      <w:r>
        <w:rPr>
          <w:rFonts w:ascii="Calibri" w:hAnsi="Calibri"/>
          <w:color w:val="2D3748"/>
          <w:sz w:val="22"/>
        </w:rPr>
        <w:t>This project presents PhishGuard, a machine learning-based phishing detection framework designed to demonstrate how artificial intelligence can be systematically applied to cybersecurity telemetry. Built using Python, Scikit-learn, and the official UCI Machine Learning Repository dataset, PhishGuard provides an end-to-end pipeline covering exploratory data analysis, stratified data partitioning, model training, rigorous multi-metric evaluation, and transparent rule-based heuristic demonstration.</w:t>
      </w:r>
    </w:p>
    <w:p>
      <w:pPr>
        <w:keepNext/>
        <w:spacing w:before="360" w:after="160"/>
      </w:pPr>
      <w:r>
        <w:rPr>
          <w:rFonts w:ascii="Calibri" w:hAnsi="Calibri"/>
          <w:b/>
          <w:color w:val="1A365D"/>
          <w:sz w:val="32"/>
        </w:rPr>
        <w:t>2. PROBLEM STATEMENT</w:t>
      </w:r>
    </w:p>
    <w:p>
      <w:pPr>
        <w:spacing w:before="0" w:after="120" w:line="276" w:lineRule="auto"/>
      </w:pPr>
      <w:r>
        <w:rPr>
          <w:rFonts w:ascii="Calibri" w:hAnsi="Calibri"/>
          <w:color w:val="2D3748"/>
          <w:sz w:val="22"/>
        </w:rPr>
        <w:t>Static blacklists maintained by browser vendors and security vendors fail to provide proactive protection against modern phishing attacks for several fundamental reasons:</w:t>
      </w:r>
    </w:p>
    <w:p>
      <w:pPr>
        <w:pStyle w:val="ListBullet"/>
        <w:spacing w:before="0" w:after="60" w:line="276" w:lineRule="auto"/>
      </w:pPr>
      <w:r>
        <w:rPr>
          <w:rFonts w:ascii="Calibri" w:hAnsi="Calibri"/>
          <w:b/>
          <w:color w:val="1A365D"/>
          <w:sz w:val="21"/>
        </w:rPr>
        <w:t xml:space="preserve">High Velocity &amp; Ephemeral Lifespans: </w:t>
      </w:r>
      <w:r>
        <w:rPr>
          <w:rFonts w:ascii="Calibri" w:hAnsi="Calibri"/>
          <w:color w:val="2D3748"/>
          <w:sz w:val="21"/>
        </w:rPr>
        <w:t>Modern phishing websites are ephemeral; empirical studies indicate that over 65% of phishing sites stay active for under 6 to 12 hours. By the time a URL is submitted, reviewed, verified, and distributed to global blacklist databases, thousands of victims have already been compromised.</w:t>
      </w:r>
    </w:p>
    <w:p>
      <w:pPr>
        <w:pStyle w:val="ListBullet"/>
        <w:spacing w:before="0" w:after="60" w:line="276" w:lineRule="auto"/>
      </w:pPr>
      <w:r>
        <w:rPr>
          <w:rFonts w:ascii="Calibri" w:hAnsi="Calibri"/>
          <w:b/>
          <w:color w:val="1A365D"/>
          <w:sz w:val="21"/>
        </w:rPr>
        <w:t xml:space="preserve">Fast-Flux and Domain Generation Algorithms (DGAs): </w:t>
      </w:r>
      <w:r>
        <w:rPr>
          <w:rFonts w:ascii="Calibri" w:hAnsi="Calibri"/>
          <w:color w:val="2D3748"/>
          <w:sz w:val="21"/>
        </w:rPr>
        <w:t>Attackers dynamically generate hundreds of obfuscated domain names and rapidly rotate IP addresses through compromised proxy networks, rendering IP and domain-level blocking obsolete.</w:t>
      </w:r>
    </w:p>
    <w:p>
      <w:pPr>
        <w:pStyle w:val="ListBullet"/>
        <w:spacing w:before="0" w:after="60" w:line="276" w:lineRule="auto"/>
      </w:pPr>
      <w:r>
        <w:rPr>
          <w:rFonts w:ascii="Calibri" w:hAnsi="Calibri"/>
          <w:b/>
          <w:color w:val="1A365D"/>
          <w:sz w:val="21"/>
        </w:rPr>
        <w:t xml:space="preserve">SSL/TLS Ubiquity: </w:t>
      </w:r>
      <w:r>
        <w:rPr>
          <w:rFonts w:ascii="Calibri" w:hAnsi="Calibri"/>
          <w:color w:val="2D3748"/>
          <w:sz w:val="21"/>
        </w:rPr>
        <w:t>With the advent of automated, free certificate authorities (such as Let's Encrypt), over 80% of modern phishing websites now feature valid HTTPS padlocks, shattering the historic user heuristic that 'HTTPS equals safe'.</w:t>
      </w:r>
    </w:p>
    <w:p>
      <w:pPr>
        <w:pStyle w:val="ListBullet"/>
        <w:spacing w:before="0" w:after="60" w:line="276" w:lineRule="auto"/>
      </w:pPr>
      <w:r>
        <w:rPr>
          <w:rFonts w:ascii="Calibri" w:hAnsi="Calibri"/>
          <w:b/>
          <w:color w:val="1A365D"/>
          <w:sz w:val="21"/>
        </w:rPr>
        <w:t xml:space="preserve">Need for Generalizable Intelligence: </w:t>
      </w:r>
      <w:r>
        <w:rPr>
          <w:rFonts w:ascii="Calibri" w:hAnsi="Calibri"/>
          <w:color w:val="2D3748"/>
          <w:sz w:val="21"/>
        </w:rPr>
        <w:t>There is an urgent requirement for machine learning systems capable of learning invariant structural, behavioral, and cryptographic patterns that distinguish fraudulent websites from legitimate ones, enabling instantaneous classification of newly encountered sites.</w:t>
      </w:r>
    </w:p>
    <w:p>
      <w:pPr>
        <w:keepNext/>
        <w:spacing w:before="360" w:after="160"/>
      </w:pPr>
      <w:r>
        <w:rPr>
          <w:rFonts w:ascii="Calibri" w:hAnsi="Calibri"/>
          <w:b/>
          <w:color w:val="1A365D"/>
          <w:sz w:val="32"/>
        </w:rPr>
        <w:t>3. OBJECTIVES</w:t>
      </w:r>
    </w:p>
    <w:p>
      <w:pPr>
        <w:spacing w:before="0" w:after="120" w:line="276" w:lineRule="auto"/>
      </w:pPr>
      <w:r>
        <w:rPr>
          <w:rFonts w:ascii="Calibri" w:hAnsi="Calibri"/>
          <w:color w:val="2D3748"/>
          <w:sz w:val="22"/>
        </w:rPr>
        <w:t>The primary technical and academic objectives of the PhishGuard project are:</w:t>
      </w:r>
    </w:p>
    <w:p>
      <w:pPr>
        <w:pStyle w:val="ListBullet"/>
        <w:spacing w:before="0" w:after="60" w:line="276" w:lineRule="auto"/>
      </w:pPr>
      <w:r>
        <w:rPr>
          <w:rFonts w:ascii="Calibri" w:hAnsi="Calibri"/>
          <w:b/>
          <w:color w:val="1A365D"/>
          <w:sz w:val="21"/>
        </w:rPr>
        <w:t xml:space="preserve">Academic Data Science Pipeline: </w:t>
      </w:r>
      <w:r>
        <w:rPr>
          <w:rFonts w:ascii="Calibri" w:hAnsi="Calibri"/>
          <w:color w:val="2D3748"/>
          <w:sz w:val="21"/>
        </w:rPr>
        <w:t>Implement a complete, reproducible machine learning workflow in Python using Jupyter Notebook, following best practices in exploratory data analysis, data sanitation, and zero-leakage stratified train-test splitting.</w:t>
      </w:r>
    </w:p>
    <w:p>
      <w:pPr>
        <w:pStyle w:val="ListBullet"/>
        <w:spacing w:before="0" w:after="60" w:line="276" w:lineRule="auto"/>
      </w:pPr>
      <w:r>
        <w:rPr>
          <w:rFonts w:ascii="Calibri" w:hAnsi="Calibri"/>
          <w:b/>
          <w:color w:val="1A365D"/>
          <w:sz w:val="21"/>
        </w:rPr>
        <w:t xml:space="preserve">Comparative Algorithm Evaluation: </w:t>
      </w:r>
      <w:r>
        <w:rPr>
          <w:rFonts w:ascii="Calibri" w:hAnsi="Calibri"/>
          <w:color w:val="2D3748"/>
          <w:sz w:val="21"/>
        </w:rPr>
        <w:t>Train and benchmark multiple machine learning classifiers—including a Dummy baseline, Logistic Regression, and Random Forest Classifier—using standard statistical metrics (Accuracy, Precision, Recall, F1-Score, and ROC-AUC).</w:t>
      </w:r>
    </w:p>
    <w:p>
      <w:pPr>
        <w:pStyle w:val="ListBullet"/>
        <w:spacing w:before="0" w:after="60" w:line="276" w:lineRule="auto"/>
      </w:pPr>
      <w:r>
        <w:rPr>
          <w:rFonts w:ascii="Calibri" w:hAnsi="Calibri"/>
          <w:b/>
          <w:color w:val="1A365D"/>
          <w:sz w:val="21"/>
        </w:rPr>
        <w:t xml:space="preserve">Cybersecurity Metric Interpretation: </w:t>
      </w:r>
      <w:r>
        <w:rPr>
          <w:rFonts w:ascii="Calibri" w:hAnsi="Calibri"/>
          <w:color w:val="2D3748"/>
          <w:sz w:val="21"/>
        </w:rPr>
        <w:t>Demonstrate why raw Accuracy is insufficient and dangerous in security contexts, emphasizing the operational significance of False Negatives (missed attacks) and False Positives (nuisance alarms).</w:t>
      </w:r>
    </w:p>
    <w:p>
      <w:pPr>
        <w:pStyle w:val="ListBullet"/>
        <w:spacing w:before="0" w:after="60" w:line="276" w:lineRule="auto"/>
      </w:pPr>
      <w:r>
        <w:rPr>
          <w:rFonts w:ascii="Calibri" w:hAnsi="Calibri"/>
          <w:b/>
          <w:color w:val="1A365D"/>
          <w:sz w:val="21"/>
        </w:rPr>
        <w:t xml:space="preserve">Feature Importance Discovery: </w:t>
      </w:r>
      <w:r>
        <w:rPr>
          <w:rFonts w:ascii="Calibri" w:hAnsi="Calibri"/>
          <w:color w:val="2D3748"/>
          <w:sz w:val="21"/>
        </w:rPr>
        <w:t>Identify and explain the top heuristic features (such as SSL certificate validity and external anchor link ratios) that contribute most decisively to phishing website discrimination.</w:t>
      </w:r>
    </w:p>
    <w:p>
      <w:pPr>
        <w:pStyle w:val="ListBullet"/>
        <w:spacing w:before="0" w:after="60" w:line="276" w:lineRule="auto"/>
      </w:pPr>
      <w:r>
        <w:rPr>
          <w:rFonts w:ascii="Calibri" w:hAnsi="Calibri"/>
          <w:b/>
          <w:color w:val="1A365D"/>
          <w:sz w:val="21"/>
        </w:rPr>
        <w:t xml:space="preserve">Transparent Lexical URL Analyzer: </w:t>
      </w:r>
      <w:r>
        <w:rPr>
          <w:rFonts w:ascii="Calibri" w:hAnsi="Calibri"/>
          <w:color w:val="2D3748"/>
          <w:sz w:val="21"/>
        </w:rPr>
        <w:t>Develop a rule-based URL evaluation function (analyze_url) using Python standard libraries that safely checks raw URL strings for common lexical indicators (e.g., IP hostnames, excessive subdomains, credential keywords) without making hazardous network calls.</w:t>
      </w:r>
    </w:p>
    <w:p>
      <w:pPr>
        <w:keepNext/>
        <w:spacing w:before="360" w:after="160"/>
      </w:pPr>
      <w:r>
        <w:rPr>
          <w:rFonts w:ascii="Calibri" w:hAnsi="Calibri"/>
          <w:b/>
          <w:color w:val="1A365D"/>
          <w:sz w:val="32"/>
        </w:rPr>
        <w:t>4. SCOPE OF THE PROJECT</w:t>
      </w:r>
    </w:p>
    <w:p>
      <w:pPr>
        <w:spacing w:before="0" w:after="120" w:line="276" w:lineRule="auto"/>
      </w:pPr>
      <w:r>
        <w:rPr>
          <w:rFonts w:ascii="Calibri" w:hAnsi="Calibri"/>
          <w:color w:val="2D3748"/>
          <w:sz w:val="22"/>
        </w:rPr>
        <w:t>The scope of PhishGuard encompasses both empirical machine learning research and practical software engineering, deliberately structured to align with 3rd-year B.Tech academic mini-project requirements:</w:t>
      </w:r>
    </w:p>
    <w:p>
      <w:pPr>
        <w:pStyle w:val="ListBullet"/>
        <w:spacing w:before="0" w:after="60" w:line="276" w:lineRule="auto"/>
      </w:pPr>
      <w:r>
        <w:rPr>
          <w:rFonts w:ascii="Calibri" w:hAnsi="Calibri"/>
          <w:b/>
          <w:color w:val="1A365D"/>
          <w:sz w:val="21"/>
        </w:rPr>
        <w:t xml:space="preserve">In Scope: </w:t>
      </w:r>
      <w:r>
        <w:rPr>
          <w:rFonts w:ascii="Calibri" w:hAnsi="Calibri"/>
          <w:color w:val="2D3748"/>
          <w:sz w:val="21"/>
        </w:rPr>
        <w:t>Ingestion of the 11,055-instance UCI Phishing Websites benchmark dataset; full exploratory data analysis; statistical validation; training of baseline and ensemble classifiers; rigorous confusion matrix and ROC-AUC analysis; calculation of feature importances; development of a standalone lexical URL heuristic analyzer; and publication-grade documentation.</w:t>
      </w:r>
    </w:p>
    <w:p>
      <w:pPr>
        <w:pStyle w:val="ListBullet"/>
        <w:spacing w:before="0" w:after="60" w:line="276" w:lineRule="auto"/>
      </w:pPr>
      <w:r>
        <w:rPr>
          <w:rFonts w:ascii="Calibri" w:hAnsi="Calibri"/>
          <w:b/>
          <w:color w:val="1A365D"/>
          <w:sz w:val="21"/>
        </w:rPr>
        <w:t xml:space="preserve">Out of Scope: </w:t>
      </w:r>
      <w:r>
        <w:rPr>
          <w:rFonts w:ascii="Calibri" w:hAnsi="Calibri"/>
          <w:color w:val="2D3748"/>
          <w:sz w:val="21"/>
        </w:rPr>
        <w:t>Live web crawling, dynamic JavaScript execution, sandbox browser automation, deep learning neural networks, and web browser extensions. These features were excluded to maintain computational efficiency on standard consumer laptops, eliminate dangerous live malware interactions, and preserve academic focus on core machine learning concepts.</w:t>
      </w:r>
    </w:p>
    <w:p>
      <w:pPr>
        <w:keepNext/>
        <w:spacing w:before="360" w:after="160"/>
      </w:pPr>
      <w:r>
        <w:rPr>
          <w:rFonts w:ascii="Calibri" w:hAnsi="Calibri"/>
          <w:b/>
          <w:color w:val="1A365D"/>
          <w:sz w:val="32"/>
        </w:rPr>
        <w:t>5. EXISTING SYSTEM AND PROPOSED SYSTEM</w:t>
      </w:r>
    </w:p>
    <w:p>
      <w:pPr>
        <w:spacing w:before="0" w:after="120" w:line="276" w:lineRule="auto"/>
      </w:pPr>
      <w:r>
        <w:rPr>
          <w:rFonts w:ascii="Calibri" w:hAnsi="Calibri"/>
          <w:color w:val="2D3748"/>
          <w:sz w:val="22"/>
        </w:rPr>
        <w:t>To appreciate the security advantages introduced by PhishGuard, it is instructive to compare traditional blacklist-driven approaches with the proposed multi-engine machine learning methodology.</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r>
              <w:rPr>
                <w:rFonts w:ascii="Calibri" w:hAnsi="Calibri"/>
                <w:b/>
                <w:color w:val="FFFFFF"/>
                <w:sz w:val="20"/>
              </w:rPr>
              <w:t>Evaluation Dimension</w:t>
            </w:r>
          </w:p>
        </w:tc>
        <w:tc>
          <w:tcPr>
            <w:tcW w:type="dxa" w:w="3120"/>
            <w:shd w:fill="1A365D"/>
            <w:tcMar>
              <w:top w:w="100" w:type="dxa"/>
              <w:bottom w:w="100" w:type="dxa"/>
              <w:left w:w="120" w:type="dxa"/>
              <w:right w:w="120" w:type="dxa"/>
            </w:tcMar>
          </w:tcPr>
          <w:p>
            <w:r>
              <w:rPr>
                <w:rFonts w:ascii="Calibri" w:hAnsi="Calibri"/>
                <w:b/>
                <w:color w:val="FFFFFF"/>
                <w:sz w:val="20"/>
              </w:rPr>
              <w:t>Existing System (Blacklists / Heuristics)</w:t>
            </w:r>
          </w:p>
        </w:tc>
        <w:tc>
          <w:tcPr>
            <w:tcW w:type="dxa" w:w="3120"/>
            <w:shd w:fill="1A365D"/>
            <w:tcMar>
              <w:top w:w="100" w:type="dxa"/>
              <w:bottom w:w="100" w:type="dxa"/>
              <w:left w:w="120" w:type="dxa"/>
              <w:right w:w="120" w:type="dxa"/>
            </w:tcMar>
          </w:tcPr>
          <w:p>
            <w:r>
              <w:rPr>
                <w:rFonts w:ascii="Calibri" w:hAnsi="Calibri"/>
                <w:b/>
                <w:color w:val="FFFFFF"/>
                <w:sz w:val="20"/>
              </w:rPr>
              <w:t>Proposed PhishGuard System</w:t>
            </w:r>
          </w:p>
        </w:tc>
      </w:tr>
      <w:tr>
        <w:tc>
          <w:tcPr>
            <w:tcW w:type="dxa" w:w="3120"/>
            <w:shd w:fill="F7FAFC"/>
            <w:tcMar>
              <w:top w:w="80" w:type="dxa"/>
              <w:bottom w:w="80" w:type="dxa"/>
              <w:left w:w="120" w:type="dxa"/>
              <w:right w:w="120" w:type="dxa"/>
            </w:tcMar>
          </w:tcPr>
          <w:p>
            <w:r>
              <w:rPr>
                <w:rFonts w:ascii="Calibri" w:hAnsi="Calibri"/>
                <w:b/>
                <w:color w:val="1A365D"/>
                <w:sz w:val="19"/>
              </w:rPr>
              <w:t>Detection Philosophy</w:t>
            </w:r>
          </w:p>
        </w:tc>
        <w:tc>
          <w:tcPr>
            <w:tcW w:type="dxa" w:w="3120"/>
            <w:shd w:fill="F7FAFC"/>
            <w:tcMar>
              <w:top w:w="80" w:type="dxa"/>
              <w:bottom w:w="80" w:type="dxa"/>
              <w:left w:w="120" w:type="dxa"/>
              <w:right w:w="120" w:type="dxa"/>
            </w:tcMar>
          </w:tcPr>
          <w:p>
            <w:r>
              <w:rPr>
                <w:rFonts w:ascii="Calibri" w:hAnsi="Calibri"/>
                <w:b w:val="0"/>
                <w:color w:val="2D3748"/>
                <w:sz w:val="19"/>
              </w:rPr>
              <w:t>Reactive: relies on prior manual user reporting, crawler discovery, and verification lists.</w:t>
            </w:r>
          </w:p>
        </w:tc>
        <w:tc>
          <w:tcPr>
            <w:tcW w:type="dxa" w:w="3120"/>
            <w:shd w:fill="F7FAFC"/>
            <w:tcMar>
              <w:top w:w="80" w:type="dxa"/>
              <w:bottom w:w="80" w:type="dxa"/>
              <w:left w:w="120" w:type="dxa"/>
              <w:right w:w="120" w:type="dxa"/>
            </w:tcMar>
          </w:tcPr>
          <w:p>
            <w:r>
              <w:rPr>
                <w:rFonts w:ascii="Calibri" w:hAnsi="Calibri"/>
                <w:b w:val="0"/>
                <w:color w:val="2D3748"/>
                <w:sz w:val="19"/>
              </w:rPr>
              <w:t>Proactive: classifies websites based on learned statistical patterns and structural features.</w:t>
            </w:r>
          </w:p>
        </w:tc>
      </w:tr>
      <w:tr>
        <w:tc>
          <w:tcPr>
            <w:tcW w:type="dxa" w:w="3120"/>
            <w:shd w:fill="FFFFFF"/>
            <w:tcMar>
              <w:top w:w="80" w:type="dxa"/>
              <w:bottom w:w="80" w:type="dxa"/>
              <w:left w:w="120" w:type="dxa"/>
              <w:right w:w="120" w:type="dxa"/>
            </w:tcMar>
          </w:tcPr>
          <w:p>
            <w:r>
              <w:rPr>
                <w:rFonts w:ascii="Calibri" w:hAnsi="Calibri"/>
                <w:b/>
                <w:color w:val="1A365D"/>
                <w:sz w:val="19"/>
              </w:rPr>
              <w:t>Zero-Day Protection</w:t>
            </w:r>
          </w:p>
        </w:tc>
        <w:tc>
          <w:tcPr>
            <w:tcW w:type="dxa" w:w="3120"/>
            <w:shd w:fill="FFFFFF"/>
            <w:tcMar>
              <w:top w:w="80" w:type="dxa"/>
              <w:bottom w:w="80" w:type="dxa"/>
              <w:left w:w="120" w:type="dxa"/>
              <w:right w:w="120" w:type="dxa"/>
            </w:tcMar>
          </w:tcPr>
          <w:p>
            <w:r>
              <w:rPr>
                <w:rFonts w:ascii="Calibri" w:hAnsi="Calibri"/>
                <w:b w:val="0"/>
                <w:color w:val="2D3748"/>
                <w:sz w:val="19"/>
              </w:rPr>
              <w:t>Poor: completely blind to newly generated domains during the first 6 to 12 hours.</w:t>
            </w:r>
          </w:p>
        </w:tc>
        <w:tc>
          <w:tcPr>
            <w:tcW w:type="dxa" w:w="3120"/>
            <w:shd w:fill="FFFFFF"/>
            <w:tcMar>
              <w:top w:w="80" w:type="dxa"/>
              <w:bottom w:w="80" w:type="dxa"/>
              <w:left w:w="120" w:type="dxa"/>
              <w:right w:w="120" w:type="dxa"/>
            </w:tcMar>
          </w:tcPr>
          <w:p>
            <w:r>
              <w:rPr>
                <w:rFonts w:ascii="Calibri" w:hAnsi="Calibri"/>
                <w:b w:val="0"/>
                <w:color w:val="2D3748"/>
                <w:sz w:val="19"/>
              </w:rPr>
              <w:t>High: recognizes invariant phishing traits even on never-before-seen domain names.</w:t>
            </w:r>
          </w:p>
        </w:tc>
      </w:tr>
      <w:tr>
        <w:tc>
          <w:tcPr>
            <w:tcW w:type="dxa" w:w="3120"/>
            <w:shd w:fill="F7FAFC"/>
            <w:tcMar>
              <w:top w:w="80" w:type="dxa"/>
              <w:bottom w:w="80" w:type="dxa"/>
              <w:left w:w="120" w:type="dxa"/>
              <w:right w:w="120" w:type="dxa"/>
            </w:tcMar>
          </w:tcPr>
          <w:p>
            <w:r>
              <w:rPr>
                <w:rFonts w:ascii="Calibri" w:hAnsi="Calibri"/>
                <w:b/>
                <w:color w:val="1A365D"/>
                <w:sz w:val="19"/>
              </w:rPr>
              <w:t>SSL/TLS Analysis</w:t>
            </w:r>
          </w:p>
        </w:tc>
        <w:tc>
          <w:tcPr>
            <w:tcW w:type="dxa" w:w="3120"/>
            <w:shd w:fill="F7FAFC"/>
            <w:tcMar>
              <w:top w:w="80" w:type="dxa"/>
              <w:bottom w:w="80" w:type="dxa"/>
              <w:left w:w="120" w:type="dxa"/>
              <w:right w:w="120" w:type="dxa"/>
            </w:tcMar>
          </w:tcPr>
          <w:p>
            <w:r>
              <w:rPr>
                <w:rFonts w:ascii="Calibri" w:hAnsi="Calibri"/>
                <w:b w:val="0"/>
                <w:color w:val="2D3748"/>
                <w:sz w:val="19"/>
              </w:rPr>
              <w:t>Superficial: often treats any HTTPS padlock as an indicator of safety.</w:t>
            </w:r>
          </w:p>
        </w:tc>
        <w:tc>
          <w:tcPr>
            <w:tcW w:type="dxa" w:w="3120"/>
            <w:shd w:fill="F7FAFC"/>
            <w:tcMar>
              <w:top w:w="80" w:type="dxa"/>
              <w:bottom w:w="80" w:type="dxa"/>
              <w:left w:w="120" w:type="dxa"/>
              <w:right w:w="120" w:type="dxa"/>
            </w:tcMar>
          </w:tcPr>
          <w:p>
            <w:r>
              <w:rPr>
                <w:rFonts w:ascii="Calibri" w:hAnsi="Calibri"/>
                <w:b w:val="0"/>
                <w:color w:val="2D3748"/>
                <w:sz w:val="19"/>
              </w:rPr>
              <w:t>Deep: evaluates certificate authority trustworthiness, registration length, and cipher validity.</w:t>
            </w:r>
          </w:p>
        </w:tc>
      </w:tr>
      <w:tr>
        <w:tc>
          <w:tcPr>
            <w:tcW w:type="dxa" w:w="3120"/>
            <w:shd w:fill="FFFFFF"/>
            <w:tcMar>
              <w:top w:w="80" w:type="dxa"/>
              <w:bottom w:w="80" w:type="dxa"/>
              <w:left w:w="120" w:type="dxa"/>
              <w:right w:w="120" w:type="dxa"/>
            </w:tcMar>
          </w:tcPr>
          <w:p>
            <w:r>
              <w:rPr>
                <w:rFonts w:ascii="Calibri" w:hAnsi="Calibri"/>
                <w:b/>
                <w:color w:val="1A365D"/>
                <w:sz w:val="19"/>
              </w:rPr>
              <w:t>Behavioral Telemetry</w:t>
            </w:r>
          </w:p>
        </w:tc>
        <w:tc>
          <w:tcPr>
            <w:tcW w:type="dxa" w:w="3120"/>
            <w:shd w:fill="FFFFFF"/>
            <w:tcMar>
              <w:top w:w="80" w:type="dxa"/>
              <w:bottom w:w="80" w:type="dxa"/>
              <w:left w:w="120" w:type="dxa"/>
              <w:right w:w="120" w:type="dxa"/>
            </w:tcMar>
          </w:tcPr>
          <w:p>
            <w:r>
              <w:rPr>
                <w:rFonts w:ascii="Calibri" w:hAnsi="Calibri"/>
                <w:b w:val="0"/>
                <w:color w:val="2D3748"/>
                <w:sz w:val="19"/>
              </w:rPr>
              <w:t>Absent: only matches exact URL strings or domain names.</w:t>
            </w:r>
          </w:p>
        </w:tc>
        <w:tc>
          <w:tcPr>
            <w:tcW w:type="dxa" w:w="3120"/>
            <w:shd w:fill="FFFFFF"/>
            <w:tcMar>
              <w:top w:w="80" w:type="dxa"/>
              <w:bottom w:w="80" w:type="dxa"/>
              <w:left w:w="120" w:type="dxa"/>
              <w:right w:w="120" w:type="dxa"/>
            </w:tcMar>
          </w:tcPr>
          <w:p>
            <w:r>
              <w:rPr>
                <w:rFonts w:ascii="Calibri" w:hAnsi="Calibri"/>
                <w:b w:val="0"/>
                <w:color w:val="2D3748"/>
                <w:sz w:val="19"/>
              </w:rPr>
              <w:t>Comprehensive: inspects anchor tags, server form handlers, DNS age, and web traffic rankings.</w:t>
            </w:r>
          </w:p>
        </w:tc>
      </w:tr>
      <w:tr>
        <w:tc>
          <w:tcPr>
            <w:tcW w:type="dxa" w:w="3120"/>
            <w:shd w:fill="F7FAFC"/>
            <w:tcMar>
              <w:top w:w="80" w:type="dxa"/>
              <w:bottom w:w="80" w:type="dxa"/>
              <w:left w:w="120" w:type="dxa"/>
              <w:right w:w="120" w:type="dxa"/>
            </w:tcMar>
          </w:tcPr>
          <w:p>
            <w:r>
              <w:rPr>
                <w:rFonts w:ascii="Calibri" w:hAnsi="Calibri"/>
                <w:b/>
                <w:color w:val="1A365D"/>
                <w:sz w:val="19"/>
              </w:rPr>
              <w:t>Computational Overhead</w:t>
            </w:r>
          </w:p>
        </w:tc>
        <w:tc>
          <w:tcPr>
            <w:tcW w:type="dxa" w:w="3120"/>
            <w:shd w:fill="F7FAFC"/>
            <w:tcMar>
              <w:top w:w="80" w:type="dxa"/>
              <w:bottom w:w="80" w:type="dxa"/>
              <w:left w:w="120" w:type="dxa"/>
              <w:right w:w="120" w:type="dxa"/>
            </w:tcMar>
          </w:tcPr>
          <w:p>
            <w:r>
              <w:rPr>
                <w:rFonts w:ascii="Calibri" w:hAnsi="Calibri"/>
                <w:b w:val="0"/>
                <w:color w:val="2D3748"/>
                <w:sz w:val="19"/>
              </w:rPr>
              <w:t>Low for database lookups; high for maintaining global synchronous lists.</w:t>
            </w:r>
          </w:p>
        </w:tc>
        <w:tc>
          <w:tcPr>
            <w:tcW w:type="dxa" w:w="3120"/>
            <w:shd w:fill="F7FAFC"/>
            <w:tcMar>
              <w:top w:w="80" w:type="dxa"/>
              <w:bottom w:w="80" w:type="dxa"/>
              <w:left w:w="120" w:type="dxa"/>
              <w:right w:w="120" w:type="dxa"/>
            </w:tcMar>
          </w:tcPr>
          <w:p>
            <w:r>
              <w:rPr>
                <w:rFonts w:ascii="Calibri" w:hAnsi="Calibri"/>
                <w:b w:val="0"/>
                <w:color w:val="2D3748"/>
                <w:sz w:val="19"/>
              </w:rPr>
              <w:t>Extremely lightweight: trained model performs inference in milliseconds on consumer hardware.</w:t>
            </w:r>
          </w:p>
        </w:tc>
      </w:tr>
      <w:tr>
        <w:tc>
          <w:tcPr>
            <w:tcW w:type="dxa" w:w="3120"/>
            <w:shd w:fill="FFFFFF"/>
            <w:tcMar>
              <w:top w:w="80" w:type="dxa"/>
              <w:bottom w:w="80" w:type="dxa"/>
              <w:left w:w="120" w:type="dxa"/>
              <w:right w:w="120" w:type="dxa"/>
            </w:tcMar>
          </w:tcPr>
          <w:p>
            <w:r>
              <w:rPr>
                <w:rFonts w:ascii="Calibri" w:hAnsi="Calibri"/>
                <w:b/>
                <w:color w:val="1A365D"/>
                <w:sz w:val="19"/>
              </w:rPr>
              <w:t>Transparency &amp; Auditability</w:t>
            </w:r>
          </w:p>
        </w:tc>
        <w:tc>
          <w:tcPr>
            <w:tcW w:type="dxa" w:w="3120"/>
            <w:shd w:fill="FFFFFF"/>
            <w:tcMar>
              <w:top w:w="80" w:type="dxa"/>
              <w:bottom w:w="80" w:type="dxa"/>
              <w:left w:w="120" w:type="dxa"/>
              <w:right w:w="120" w:type="dxa"/>
            </w:tcMar>
          </w:tcPr>
          <w:p>
            <w:r>
              <w:rPr>
                <w:rFonts w:ascii="Calibri" w:hAnsi="Calibri"/>
                <w:b w:val="0"/>
                <w:color w:val="2D3748"/>
                <w:sz w:val="19"/>
              </w:rPr>
              <w:t>Blackbox: binary match/no-match without actionable diagnostic feedback.</w:t>
            </w:r>
          </w:p>
        </w:tc>
        <w:tc>
          <w:tcPr>
            <w:tcW w:type="dxa" w:w="3120"/>
            <w:shd w:fill="FFFFFF"/>
            <w:tcMar>
              <w:top w:w="80" w:type="dxa"/>
              <w:bottom w:w="80" w:type="dxa"/>
              <w:left w:w="120" w:type="dxa"/>
              <w:right w:w="120" w:type="dxa"/>
            </w:tcMar>
          </w:tcPr>
          <w:p>
            <w:r>
              <w:rPr>
                <w:rFonts w:ascii="Calibri" w:hAnsi="Calibri"/>
                <w:b w:val="0"/>
                <w:color w:val="2D3748"/>
                <w:sz w:val="19"/>
              </w:rPr>
              <w:t>Dual-Track: provides feature importance insights and itemized heuristic rule scorecards.</w:t>
            </w:r>
          </w:p>
        </w:tc>
      </w:tr>
    </w:tbl>
    <w:p>
      <w:pPr>
        <w:spacing w:after="120"/>
      </w:pPr>
    </w:p>
    <w:p>
      <w:pPr>
        <w:keepNext/>
        <w:spacing w:before="360" w:after="160"/>
      </w:pPr>
      <w:r>
        <w:rPr>
          <w:rFonts w:ascii="Calibri" w:hAnsi="Calibri"/>
          <w:b/>
          <w:color w:val="1A365D"/>
          <w:sz w:val="32"/>
        </w:rPr>
        <w:t>6. TECHNOLOGIES AND TOOLS USED</w:t>
      </w:r>
    </w:p>
    <w:p>
      <w:pPr>
        <w:spacing w:before="0" w:after="120" w:line="276" w:lineRule="auto"/>
      </w:pPr>
      <w:r>
        <w:rPr>
          <w:rFonts w:ascii="Calibri" w:hAnsi="Calibri"/>
          <w:color w:val="2D3748"/>
          <w:sz w:val="22"/>
        </w:rPr>
        <w:t>PhishGuard was implemented using modern, standard, open-source Python libraries:</w:t>
      </w:r>
    </w:p>
    <w:p>
      <w:pPr>
        <w:pStyle w:val="ListBullet"/>
        <w:spacing w:before="0" w:after="60" w:line="276" w:lineRule="auto"/>
      </w:pPr>
      <w:r>
        <w:rPr>
          <w:rFonts w:ascii="Calibri" w:hAnsi="Calibri"/>
          <w:b/>
          <w:color w:val="1A365D"/>
          <w:sz w:val="21"/>
        </w:rPr>
        <w:t xml:space="preserve">Python 3.12: </w:t>
      </w:r>
      <w:r>
        <w:rPr>
          <w:rFonts w:ascii="Calibri" w:hAnsi="Calibri"/>
          <w:color w:val="2D3748"/>
          <w:sz w:val="21"/>
        </w:rPr>
        <w:t>Primary programming language, selected for its clean syntax, extensive cybersecurity tooling, and unmatched data science ecosystem.</w:t>
      </w:r>
    </w:p>
    <w:p>
      <w:pPr>
        <w:pStyle w:val="ListBullet"/>
        <w:spacing w:before="0" w:after="60" w:line="276" w:lineRule="auto"/>
      </w:pPr>
      <w:r>
        <w:rPr>
          <w:rFonts w:ascii="Calibri" w:hAnsi="Calibri"/>
          <w:b/>
          <w:color w:val="1A365D"/>
          <w:sz w:val="21"/>
        </w:rPr>
        <w:t xml:space="preserve">NumPy &amp; Pandas: </w:t>
      </w:r>
      <w:r>
        <w:rPr>
          <w:rFonts w:ascii="Calibri" w:hAnsi="Calibri"/>
          <w:color w:val="2D3748"/>
          <w:sz w:val="21"/>
        </w:rPr>
        <w:t>High-performance vector operations, tabular data manipulation, cross-tabulations, and data sanitization.</w:t>
      </w:r>
    </w:p>
    <w:p>
      <w:pPr>
        <w:pStyle w:val="ListBullet"/>
        <w:spacing w:before="0" w:after="60" w:line="276" w:lineRule="auto"/>
      </w:pPr>
      <w:r>
        <w:rPr>
          <w:rFonts w:ascii="Calibri" w:hAnsi="Calibri"/>
          <w:b/>
          <w:color w:val="1A365D"/>
          <w:sz w:val="21"/>
        </w:rPr>
        <w:t xml:space="preserve">Scikit-Learn 1.9+: </w:t>
      </w:r>
      <w:r>
        <w:rPr>
          <w:rFonts w:ascii="Calibri" w:hAnsi="Calibri"/>
          <w:color w:val="2D3748"/>
          <w:sz w:val="21"/>
        </w:rPr>
        <w:t>Industry-standard machine learning library utilized for stratified splitting, DummyClassifier, LogisticRegression, RandomForestClassifier, and comprehensive metric evaluation.</w:t>
      </w:r>
    </w:p>
    <w:p>
      <w:pPr>
        <w:pStyle w:val="ListBullet"/>
        <w:spacing w:before="0" w:after="60" w:line="276" w:lineRule="auto"/>
      </w:pPr>
      <w:r>
        <w:rPr>
          <w:rFonts w:ascii="Calibri" w:hAnsi="Calibri"/>
          <w:b/>
          <w:color w:val="1A365D"/>
          <w:sz w:val="21"/>
        </w:rPr>
        <w:t xml:space="preserve">Matplotlib &amp; Seaborn: </w:t>
      </w:r>
      <w:r>
        <w:rPr>
          <w:rFonts w:ascii="Calibri" w:hAnsi="Calibri"/>
          <w:color w:val="2D3748"/>
          <w:sz w:val="21"/>
        </w:rPr>
        <w:t>Publication-grade visual analytics for class distributions, confusion matrices, comparative bar charts, ROC curves, and Gini feature importances.</w:t>
      </w:r>
    </w:p>
    <w:p>
      <w:pPr>
        <w:pStyle w:val="ListBullet"/>
        <w:spacing w:before="0" w:after="60" w:line="276" w:lineRule="auto"/>
      </w:pPr>
      <w:r>
        <w:rPr>
          <w:rFonts w:ascii="Calibri" w:hAnsi="Calibri"/>
          <w:b/>
          <w:color w:val="1A365D"/>
          <w:sz w:val="21"/>
        </w:rPr>
        <w:t xml:space="preserve">ucimlrepo 0.0.7: </w:t>
      </w:r>
      <w:r>
        <w:rPr>
          <w:rFonts w:ascii="Calibri" w:hAnsi="Calibri"/>
          <w:color w:val="2D3748"/>
          <w:sz w:val="21"/>
        </w:rPr>
        <w:t>Official API client for programmatic, reproducible dataset ingestion from the UCI Machine Learning Repository.</w:t>
      </w:r>
    </w:p>
    <w:p>
      <w:pPr>
        <w:pStyle w:val="ListBullet"/>
        <w:spacing w:before="0" w:after="60" w:line="276" w:lineRule="auto"/>
      </w:pPr>
      <w:r>
        <w:rPr>
          <w:rFonts w:ascii="Calibri" w:hAnsi="Calibri"/>
          <w:b/>
          <w:color w:val="1A365D"/>
          <w:sz w:val="21"/>
        </w:rPr>
        <w:t xml:space="preserve">python-docx 1.2+: </w:t>
      </w:r>
      <w:r>
        <w:rPr>
          <w:rFonts w:ascii="Calibri" w:hAnsi="Calibri"/>
          <w:color w:val="2D3748"/>
          <w:sz w:val="21"/>
        </w:rPr>
        <w:t>Document generation engine used to programmatically assemble, format, and style this comprehensive academic report.</w:t>
      </w:r>
    </w:p>
    <w:p>
      <w:pPr>
        <w:pStyle w:val="ListBullet"/>
        <w:spacing w:before="0" w:after="60" w:line="276" w:lineRule="auto"/>
      </w:pPr>
      <w:r>
        <w:rPr>
          <w:rFonts w:ascii="Calibri" w:hAnsi="Calibri"/>
          <w:b/>
          <w:color w:val="1A365D"/>
          <w:sz w:val="21"/>
        </w:rPr>
        <w:t xml:space="preserve">Jupyter Notebook: </w:t>
      </w:r>
      <w:r>
        <w:rPr>
          <w:rFonts w:ascii="Calibri" w:hAnsi="Calibri"/>
          <w:color w:val="2D3748"/>
          <w:sz w:val="21"/>
        </w:rPr>
        <w:t>Interactive computing environment facilitating step-by-step code execution, markdown annotations, inline visualizations, and classroom defense.</w:t>
      </w:r>
    </w:p>
    <w:p>
      <w:pPr>
        <w:keepNext/>
        <w:spacing w:before="360" w:after="160"/>
      </w:pPr>
      <w:r>
        <w:rPr>
          <w:rFonts w:ascii="Calibri" w:hAnsi="Calibri"/>
          <w:b/>
          <w:color w:val="1A365D"/>
          <w:sz w:val="32"/>
        </w:rPr>
        <w:t>7. DATASET DESCRIPTION AND CITATION</w:t>
      </w:r>
    </w:p>
    <w:p>
      <w:pPr>
        <w:spacing w:before="0" w:after="120" w:line="276" w:lineRule="auto"/>
      </w:pPr>
      <w:r>
        <w:rPr>
          <w:rFonts w:ascii="Calibri" w:hAnsi="Calibri"/>
          <w:color w:val="2D3748"/>
          <w:sz w:val="22"/>
        </w:rPr>
        <w:t>To ensure academic legitimacy and eliminate fabricated data, PhishGuard utilizes the official UCI Phishing Websites Dataset (Dataset ID: 327), hosted by the University of California, Irvine Machine Learning Repository.</w:t>
      </w:r>
    </w:p>
    <w:p>
      <w:pPr>
        <w:pStyle w:val="ListBullet"/>
        <w:spacing w:before="0" w:after="60" w:line="276" w:lineRule="auto"/>
      </w:pPr>
      <w:r>
        <w:rPr>
          <w:rFonts w:ascii="Calibri" w:hAnsi="Calibri"/>
          <w:b/>
          <w:color w:val="1A365D"/>
          <w:sz w:val="21"/>
        </w:rPr>
        <w:t xml:space="preserve">Formal Citation: </w:t>
      </w:r>
      <w:r>
        <w:rPr>
          <w:rFonts w:ascii="Calibri" w:hAnsi="Calibri"/>
          <w:color w:val="2D3748"/>
          <w:sz w:val="21"/>
        </w:rPr>
        <w:t>Mohammad, R., Thabtah, F., and McCluskey, L. (2012). An Assessment of Features Related to Phishing Websites Using an Automated Technique. International Journal of Information Security.</w:t>
      </w:r>
    </w:p>
    <w:p>
      <w:pPr>
        <w:pStyle w:val="ListBullet"/>
        <w:spacing w:before="0" w:after="60" w:line="276" w:lineRule="auto"/>
      </w:pPr>
      <w:r>
        <w:rPr>
          <w:rFonts w:ascii="Calibri" w:hAnsi="Calibri"/>
          <w:b/>
          <w:color w:val="1A365D"/>
          <w:sz w:val="21"/>
        </w:rPr>
        <w:t xml:space="preserve">Dataset DOI: </w:t>
      </w:r>
      <w:r>
        <w:rPr>
          <w:rFonts w:ascii="Calibri" w:hAnsi="Calibri"/>
          <w:color w:val="2D3748"/>
          <w:sz w:val="21"/>
        </w:rPr>
        <w:t>https://doi.org/10.24432/C51W2X | UCI Repository ID: 327</w:t>
      </w:r>
    </w:p>
    <w:p>
      <w:pPr>
        <w:pStyle w:val="ListBullet"/>
        <w:spacing w:before="0" w:after="60" w:line="276" w:lineRule="auto"/>
      </w:pPr>
      <w:r>
        <w:rPr>
          <w:rFonts w:ascii="Calibri" w:hAnsi="Calibri"/>
          <w:b/>
          <w:color w:val="1A365D"/>
          <w:sz w:val="21"/>
        </w:rPr>
        <w:t xml:space="preserve">Sample Size: </w:t>
      </w:r>
      <w:r>
        <w:rPr>
          <w:rFonts w:ascii="Calibri" w:hAnsi="Calibri"/>
          <w:color w:val="2D3748"/>
          <w:sz w:val="21"/>
        </w:rPr>
        <w:t>11,055 total website instances, comprising 6,157 legitimate websites (55.69%) and 4,898 phishing websites (44.31%).</w:t>
      </w:r>
    </w:p>
    <w:p>
      <w:pPr>
        <w:pStyle w:val="ListBullet"/>
        <w:spacing w:before="0" w:after="60" w:line="276" w:lineRule="auto"/>
      </w:pPr>
      <w:r>
        <w:rPr>
          <w:rFonts w:ascii="Calibri" w:hAnsi="Calibri"/>
          <w:b/>
          <w:color w:val="1A365D"/>
          <w:sz w:val="21"/>
        </w:rPr>
        <w:t xml:space="preserve">Feature Dimensionality: </w:t>
      </w:r>
      <w:r>
        <w:rPr>
          <w:rFonts w:ascii="Calibri" w:hAnsi="Calibri"/>
          <w:color w:val="2D3748"/>
          <w:sz w:val="21"/>
        </w:rPr>
        <w:t>30 extracted discrete attributes covering four major telemetry domains:</w:t>
      </w:r>
    </w:p>
    <w:p>
      <w:pPr>
        <w:spacing w:before="0" w:after="120" w:line="276" w:lineRule="auto"/>
      </w:pPr>
      <w:r>
        <w:rPr>
          <w:rFonts w:ascii="Calibri" w:hAnsi="Calibri"/>
          <w:color w:val="2D3748"/>
          <w:sz w:val="22"/>
        </w:rPr>
        <w:t>1. Address Bar Indicators (12 Features): having_ip_address, url_length, shortining_service, having_at_symbol, double_slash_redirecting, prefix_suffix, having_sub_domain, sslfinal_state, domain_registration_length, favicon, port, https_token.</w:t>
        <w:br/>
        <w:t>2. Abnormal Attributes (6 Features): request_url, url_of_anchor, links_in_tags, sfh (Server Form Handler), submitting_to_email, abnormal_url.</w:t>
        <w:br/>
        <w:t>3. HTML and JavaScript Behaviors (5 Features): redirect, on_mouseover, rightclick, popupwindow, iframe.</w:t>
        <w:br/>
        <w:t>4. Domain and Traffic Metrics (7 Features): age_of_domain, dnsrecord, web_traffic, page_rank, google_index, links_pointing_to_page, statistical_report.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top w:val="none"/>
              <w:left w:val="single" w:sz="24" w:space="0" w:color="1A365D"/>
              <w:bottom w:val="none"/>
              <w:right w:val="none"/>
            </w:tcBorders>
          </w:tcPr>
          <w:p>
            <w:pPr>
              <w:spacing w:before="40" w:after="80"/>
            </w:pPr>
            <w:r>
              <w:rPr>
                <w:rFonts w:ascii="Calibri" w:hAnsi="Calibri"/>
                <w:b/>
                <w:color w:val="1A365D"/>
                <w:sz w:val="20"/>
              </w:rPr>
              <w:t>🔒 DATASET ENCODING CONVENTION</w:t>
              <w:br/>
            </w:r>
            <w:r>
              <w:rPr>
                <w:rFonts w:ascii="Calibri" w:hAnsi="Calibri"/>
                <w:i/>
                <w:color w:val="2D3748"/>
                <w:sz w:val="19"/>
              </w:rPr>
              <w:t>Crucial Schema Note: In the raw UCI dataset, target labels are coded as {1: Legitimate, -1: Phishing}. In PhishGuard, we recode -1 to 1 (Phishing / Malicious) and 1 to 0 (Legitimate / Benign). In cybersecurity classification, the positive class MUST represent the threat under detection so that Recall measures intercepted attacks.</w:t>
            </w:r>
          </w:p>
        </w:tc>
      </w:tr>
    </w:tbl>
    <w:p>
      <w:pPr>
        <w:spacing w:after="120"/>
      </w:pPr>
    </w:p>
    <w:p>
      <w:pPr>
        <w:spacing w:before="200" w:after="80"/>
        <w:jc w:val="center"/>
      </w:pPr>
      <w:r>
        <w:drawing>
          <wp:inline xmlns:a="http://schemas.openxmlformats.org/drawingml/2006/main" xmlns:pic="http://schemas.openxmlformats.org/drawingml/2006/picture">
            <wp:extent cx="4754880" cy="3056709"/>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754880" cy="3056709"/>
                    </a:xfrm>
                    <a:prstGeom prst="rect"/>
                  </pic:spPr>
                </pic:pic>
              </a:graphicData>
            </a:graphic>
          </wp:inline>
        </w:drawing>
      </w:r>
    </w:p>
    <w:p>
      <w:pPr>
        <w:spacing w:after="240"/>
        <w:jc w:val="center"/>
      </w:pPr>
      <w:r>
        <w:rPr>
          <w:rFonts w:ascii="Calibri" w:hAnsi="Calibri"/>
          <w:i/>
          <w:color w:val="718096"/>
          <w:sz w:val="19"/>
        </w:rPr>
        <w:t>Figure 1: Target Class Distribution in UCI Phishing Websites Dataset (N=11,055)</w:t>
      </w:r>
    </w:p>
    <w:p>
      <w:pPr>
        <w:keepNext/>
        <w:spacing w:before="360" w:after="160"/>
      </w:pPr>
      <w:r>
        <w:rPr>
          <w:rFonts w:ascii="Calibri" w:hAnsi="Calibri"/>
          <w:b/>
          <w:color w:val="1A365D"/>
          <w:sz w:val="32"/>
        </w:rPr>
        <w:t>8. SYSTEM ARCHITECTURE AND WORKFLOW</w:t>
      </w:r>
    </w:p>
    <w:p>
      <w:pPr>
        <w:spacing w:before="0" w:after="120" w:line="276" w:lineRule="auto"/>
      </w:pPr>
      <w:r>
        <w:rPr>
          <w:rFonts w:ascii="Calibri" w:hAnsi="Calibri"/>
          <w:color w:val="2D3748"/>
          <w:sz w:val="22"/>
        </w:rPr>
        <w:t>PhishGuard employs a modular, dual-track architectural model designed to handle both comprehensive multi-feature telemetry and instantaneous raw URL inspection without creating false dependencies.</w:t>
      </w:r>
    </w:p>
    <w:p>
      <w:pPr>
        <w:spacing w:before="200" w:after="80"/>
        <w:jc w:val="center"/>
      </w:pPr>
      <w:r>
        <w:drawing>
          <wp:inline xmlns:a="http://schemas.openxmlformats.org/drawingml/2006/main" xmlns:pic="http://schemas.openxmlformats.org/drawingml/2006/picture">
            <wp:extent cx="5669280" cy="328723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87230"/>
                    </a:xfrm>
                    <a:prstGeom prst="rect"/>
                  </pic:spPr>
                </pic:pic>
              </a:graphicData>
            </a:graphic>
          </wp:inline>
        </w:drawing>
      </w:r>
    </w:p>
    <w:p>
      <w:pPr>
        <w:spacing w:after="240"/>
        <w:jc w:val="center"/>
      </w:pPr>
      <w:r>
        <w:rPr>
          <w:rFonts w:ascii="Calibri" w:hAnsi="Calibri"/>
          <w:i/>
          <w:color w:val="718096"/>
          <w:sz w:val="19"/>
        </w:rPr>
        <w:t>Figure 2: PhishGuard Dual-Engine System Architecture &amp; Data Flow</w:t>
      </w:r>
    </w:p>
    <w:p>
      <w:pPr>
        <w:keepNext/>
        <w:spacing w:before="240" w:after="80"/>
      </w:pPr>
      <w:r>
        <w:rPr>
          <w:rFonts w:ascii="Calibri" w:hAnsi="Calibri"/>
          <w:b/>
          <w:color w:val="4A5568"/>
          <w:sz w:val="26"/>
        </w:rPr>
        <w:t>Architectural Tracks Breakdown</w:t>
      </w:r>
    </w:p>
    <w:p>
      <w:pPr>
        <w:spacing w:before="0" w:after="120" w:line="276" w:lineRule="auto"/>
      </w:pPr>
      <w:r>
        <w:rPr>
          <w:rFonts w:ascii="Calibri" w:hAnsi="Calibri"/>
          <w:color w:val="2D3748"/>
          <w:sz w:val="22"/>
        </w:rPr>
        <w:t>Track A: Telemetry Machine Learning Engine:</w:t>
        <w:br/>
        <w:t>Operates on 30 pre-extracted website attributes. When a webpage is investigated, its certificate state, domain age, HTML anchor distribution, and network metrics are compiled into a 30-dimensional feature vector. The trained Random Forest classifier evaluates this vector and outputs a class prediction (Legitimate vs. Phishing) alongside confidence probabilities.</w:t>
      </w:r>
    </w:p>
    <w:p>
      <w:pPr>
        <w:spacing w:before="0" w:after="120" w:line="276" w:lineRule="auto"/>
      </w:pPr>
      <w:r>
        <w:rPr>
          <w:rFonts w:ascii="Calibri" w:hAnsi="Calibri"/>
          <w:color w:val="2D3748"/>
          <w:sz w:val="22"/>
        </w:rPr>
        <w:t>Track B: Transparent Lexical URL Analyzer:</w:t>
        <w:br/>
        <w:t>Operates directly on arbitrary raw URL strings submitted by users (e.g., in a classroom demo). Because raw URLs do not contain SSL certificate age or HTML anchor tags prior to page loading, Track B applies transparent lexical heuristics using Python's standard library. It inspects hostnames for IP addresses, excessive length, credential keywords, punycode, and missing HTTPS, assigning a weighted Risk Score (0 to 100) and risk category.</w:t>
      </w:r>
    </w:p>
    <w:p>
      <w:pPr>
        <w:keepNext/>
        <w:spacing w:before="360" w:after="160"/>
      </w:pPr>
      <w:r>
        <w:rPr>
          <w:rFonts w:ascii="Calibri" w:hAnsi="Calibri"/>
          <w:b/>
          <w:color w:val="1A365D"/>
          <w:sz w:val="32"/>
        </w:rPr>
        <w:t>9. METHODOLOGY AND ALGORITHM EXPLANATIONS</w:t>
      </w:r>
    </w:p>
    <w:p>
      <w:pPr>
        <w:spacing w:before="0" w:after="120" w:line="276" w:lineRule="auto"/>
      </w:pPr>
      <w:r>
        <w:rPr>
          <w:rFonts w:ascii="Calibri" w:hAnsi="Calibri"/>
          <w:color w:val="2D3748"/>
          <w:sz w:val="22"/>
        </w:rPr>
        <w:t>To provide a rigorous scientific evaluation, PhishGuard benchmarks three distinct classification algorithms, each representing a distinct mathematical paradigm:</w:t>
      </w:r>
    </w:p>
    <w:p>
      <w:pPr>
        <w:keepNext/>
        <w:spacing w:before="240" w:after="80"/>
      </w:pPr>
      <w:r>
        <w:rPr>
          <w:rFonts w:ascii="Calibri" w:hAnsi="Calibri"/>
          <w:b/>
          <w:color w:val="4A5568"/>
          <w:sz w:val="26"/>
        </w:rPr>
        <w:t>Algorithm 1: Dummy Baseline Classifier</w:t>
      </w:r>
    </w:p>
    <w:p>
      <w:pPr>
        <w:spacing w:before="0" w:after="120" w:line="276" w:lineRule="auto"/>
      </w:pPr>
      <w:r>
        <w:rPr>
          <w:rFonts w:ascii="Calibri" w:hAnsi="Calibri"/>
          <w:color w:val="2D3748"/>
          <w:sz w:val="22"/>
        </w:rPr>
        <w:t>The DummyClassifier implements a naive heuristic strategy—in our experiments, predicting the most frequent class (most_frequent). Because legitimate sites constitute 55.69% of the dataset, the Dummy Classifier simply predicts '0 (Legitimate)' for every single website without inspecting any feature attributes. This establishes the absolute minimum mathematical baseline and illustrates why accuracy in isolation is dangerously deceptive.</w:t>
      </w:r>
    </w:p>
    <w:p>
      <w:pPr>
        <w:keepNext/>
        <w:spacing w:before="240" w:after="80"/>
      </w:pPr>
      <w:r>
        <w:rPr>
          <w:rFonts w:ascii="Calibri" w:hAnsi="Calibri"/>
          <w:b/>
          <w:color w:val="4A5568"/>
          <w:sz w:val="26"/>
        </w:rPr>
        <w:t>Algorithm 2: Logistic Regression</w:t>
      </w:r>
    </w:p>
    <w:p>
      <w:pPr>
        <w:spacing w:before="0" w:after="120" w:line="276" w:lineRule="auto"/>
      </w:pPr>
      <w:r>
        <w:rPr>
          <w:rFonts w:ascii="Calibri" w:hAnsi="Calibri"/>
          <w:color w:val="2D3748"/>
          <w:sz w:val="22"/>
        </w:rPr>
        <w:t>Logistic Regression is a foundational linear classification algorithm. It models the posterior probability of the positive class (Phishing, y=1) as a linear combination of input features mapped through the logistic sigmoid function:</w:t>
      </w:r>
    </w:p>
    <w:p>
      <w:pPr>
        <w:spacing w:before="0" w:after="120" w:line="276" w:lineRule="auto"/>
      </w:pPr>
      <w:r>
        <w:rPr>
          <w:rFonts w:ascii="Calibri" w:hAnsi="Calibri"/>
          <w:color w:val="2D3748"/>
          <w:sz w:val="22"/>
        </w:rPr>
        <w:t>P(y=1|X) = 1 / (1 + exp(-(β0 + β1*X1 + β2*X2 + ... + βp*Xp)))</w:t>
      </w:r>
    </w:p>
    <w:p>
      <w:pPr>
        <w:spacing w:before="0" w:after="120" w:line="276" w:lineRule="auto"/>
      </w:pPr>
      <w:r>
        <w:rPr>
          <w:rFonts w:ascii="Calibri" w:hAnsi="Calibri"/>
          <w:color w:val="2D3748"/>
          <w:sz w:val="22"/>
        </w:rPr>
        <w:t>Optimization is performed via the Limited-memory Broyden–Fletcher–Goldfarb–Shanno (L-BFGS) solver, minimizing binary cross-entropy loss with L2 regularization. Logistic Regression serves as an efficient, highly interpretable linear benchmark.</w:t>
      </w:r>
    </w:p>
    <w:p>
      <w:pPr>
        <w:keepNext/>
        <w:spacing w:before="240" w:after="80"/>
      </w:pPr>
      <w:r>
        <w:rPr>
          <w:rFonts w:ascii="Calibri" w:hAnsi="Calibri"/>
          <w:b/>
          <w:color w:val="4A5568"/>
          <w:sz w:val="26"/>
        </w:rPr>
        <w:t>Algorithm 3: Random Forest Classifier (Champion Model)</w:t>
      </w:r>
    </w:p>
    <w:p>
      <w:pPr>
        <w:spacing w:before="0" w:after="120" w:line="276" w:lineRule="auto"/>
      </w:pPr>
      <w:r>
        <w:rPr>
          <w:rFonts w:ascii="Calibri" w:hAnsi="Calibri"/>
          <w:color w:val="2D3748"/>
          <w:sz w:val="22"/>
        </w:rPr>
        <w:t>Random Forest is an ensemble meta-estimator that constructs a forest of B=100 decorrelated decision trees using bootstrap aggregation (bagging) combined with random feature subspace selection. For each split in each tree, a random subset of features (m = sqrt(p) ≈ 5 features) is considered, maximizing tree diversity.</w:t>
      </w:r>
    </w:p>
    <w:p>
      <w:pPr>
        <w:spacing w:before="0" w:after="120" w:line="276" w:lineRule="auto"/>
      </w:pPr>
      <w:r>
        <w:rPr>
          <w:rFonts w:ascii="Calibri" w:hAnsi="Calibri"/>
          <w:color w:val="2D3748"/>
          <w:sz w:val="22"/>
        </w:rPr>
        <w:t>Why Random Forest Excels in Cybersecurity:</w:t>
        <w:br/>
        <w:t>1. Non-Linear Interactions: Phishing indicators are synergistic. For instance, an invalid SSL certificate (sslfinal_state=-1) combined with external form actions (sfh=-1) indicates phishing far more decisively than either feature alone. Decision trees naturally capture high-order feature conjunctions.</w:t>
        <w:br/>
        <w:t>2. Resistance to Overfitting: Bagging averages variance across 100 distinct decision trees, maintaining high generalization.</w:t>
        <w:br/>
        <w:t>3. Native Support for Discrete &amp; Ordinal Features: The UCI dataset features are discrete {-1, 0, 1}, aligning perfectly with orthogonal decision tree axis-aligned splits.</w:t>
      </w:r>
    </w:p>
    <w:p>
      <w:pPr>
        <w:keepNext/>
        <w:spacing w:before="360" w:after="160"/>
      </w:pPr>
      <w:r>
        <w:rPr>
          <w:rFonts w:ascii="Calibri" w:hAnsi="Calibri"/>
          <w:b/>
          <w:color w:val="1A365D"/>
          <w:sz w:val="32"/>
        </w:rPr>
        <w:t>10. SYSTEM IMPLEMENTATION DETAILS</w:t>
      </w:r>
    </w:p>
    <w:p>
      <w:pPr>
        <w:spacing w:before="0" w:after="120" w:line="276" w:lineRule="auto"/>
      </w:pPr>
      <w:r>
        <w:rPr>
          <w:rFonts w:ascii="Calibri" w:hAnsi="Calibri"/>
          <w:color w:val="2D3748"/>
          <w:sz w:val="22"/>
        </w:rPr>
        <w:t>The complete system implementation is structured into modular functional pipelines:</w:t>
      </w:r>
    </w:p>
    <w:p>
      <w:pPr>
        <w:keepNext/>
        <w:spacing w:before="240" w:after="80"/>
      </w:pPr>
      <w:r>
        <w:rPr>
          <w:rFonts w:ascii="Calibri" w:hAnsi="Calibri"/>
          <w:b/>
          <w:color w:val="4A5568"/>
          <w:sz w:val="26"/>
        </w:rPr>
        <w:t>1. Data Pipeline &amp; Zero-Leakage Splitting</w:t>
      </w:r>
    </w:p>
    <w:p>
      <w:pPr>
        <w:spacing w:before="0" w:after="120" w:line="276" w:lineRule="auto"/>
      </w:pPr>
      <w:r>
        <w:rPr>
          <w:rFonts w:ascii="Calibri" w:hAnsi="Calibri"/>
          <w:color w:val="2D3748"/>
          <w:sz w:val="22"/>
        </w:rPr>
        <w:t>Data leakage occurs when knowledge from the test partition inadvertently influences training, creating an illusion of high performance that collapses in production. PhishGuard strictly enforces zero data leakage by splitting features and recoded targets using a stratified 80/20 train-test split (random_state=42) before any model fitting occurs. Because the dataset features are already bounded discrete values {-1, 0, 1}, no external normalization or mean-imputation is required, preserving pristine test set isolation.</w:t>
      </w:r>
    </w:p>
    <w:p>
      <w:pPr>
        <w:keepNext/>
        <w:spacing w:before="240" w:after="80"/>
      </w:pPr>
      <w:r>
        <w:rPr>
          <w:rFonts w:ascii="Calibri" w:hAnsi="Calibri"/>
          <w:b/>
          <w:color w:val="4A5568"/>
          <w:sz w:val="26"/>
        </w:rPr>
        <w:t>2. Lexical URL Heuristics Engine (analyze_url)</w:t>
      </w:r>
    </w:p>
    <w:p>
      <w:pPr>
        <w:spacing w:before="0" w:after="120" w:line="276" w:lineRule="auto"/>
      </w:pPr>
      <w:r>
        <w:rPr>
          <w:rFonts w:ascii="Calibri" w:hAnsi="Calibri"/>
          <w:color w:val="2D3748"/>
          <w:sz w:val="22"/>
        </w:rPr>
        <w:t>The standalone function analyze_url(url) executes a battery of eight security checks using Python standard library modules:</w:t>
        <w:br/>
        <w:t>• IP Address Hostname (+30 penalty): Checks whether the host is an IPv4/IPv6 literal (e.g. http://192.168.1.1/login).</w:t>
        <w:br/>
        <w:t>• Excessive URL Length (+20 penalty): Flags URLs exceeding 75 characters, common in token-stuffed phishing links.</w:t>
        <w:br/>
        <w:t>• Credential Keywords (+10 to +25 penalty): Identifies urgency/credential triggers: 'login', 'verify', 'banking', 'account', 'security-alert'.</w:t>
        <w:br/>
        <w:t>• At Symbol '@' (+25 penalty): Detects embedded basic auth delimiters where browsers discard preceding text.</w:t>
        <w:br/>
        <w:t>• Excessive Subdomains (+20 penalty): Counts dots in hostname (&gt;3 dots indicates multi-tier subdomain masking).</w:t>
        <w:br/>
        <w:t>• Missing HTTPS (+15 penalty): Flags plain HTTP transmission.</w:t>
        <w:br/>
        <w:t>• Punycode 'xn--' (+25 penalty): Flags internationalized domain names used in Cyrillic/Greek homograph visual spoofing.</w:t>
        <w:br/>
        <w:t>• Hyphenated Hostname (+10 penalty): Flags hyphens commonly inserted in brand impersonations (e.g., 'paypal-update.com').</w:t>
      </w:r>
    </w:p>
    <w:p>
      <w:pPr>
        <w:keepNext/>
        <w:spacing w:before="360" w:after="160"/>
      </w:pPr>
      <w:r>
        <w:rPr>
          <w:rFonts w:ascii="Calibri" w:hAnsi="Calibri"/>
          <w:b/>
          <w:color w:val="1A365D"/>
          <w:sz w:val="32"/>
        </w:rPr>
        <w:t>11. EXPERIMENTAL SETUP</w:t>
      </w:r>
    </w:p>
    <w:p>
      <w:pPr>
        <w:spacing w:before="0" w:after="120" w:line="276" w:lineRule="auto"/>
      </w:pPr>
      <w:r>
        <w:rPr>
          <w:rFonts w:ascii="Calibri" w:hAnsi="Calibri"/>
          <w:color w:val="2D3748"/>
          <w:sz w:val="22"/>
        </w:rPr>
        <w:t>All experiments were conducted on a Windows 11 workstation equipped with an Intel Core processor, 16 GB RAM, and Python 3.12. To ensure total academic reproducibility, all stochastic procedures were pinned to random_state=42.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A365D"/>
            <w:tcMar>
              <w:top w:w="80" w:type="dxa"/>
              <w:bottom w:w="80" w:type="dxa"/>
              <w:left w:w="100" w:type="dxa"/>
              <w:right w:w="100" w:type="dxa"/>
            </w:tcMar>
          </w:tcPr>
          <w:p>
            <w:r>
              <w:rPr>
                <w:rFonts w:ascii="Calibri" w:hAnsi="Calibri"/>
                <w:b/>
                <w:color w:val="FFFFFF"/>
                <w:sz w:val="19"/>
              </w:rPr>
              <w:t>Partition</w:t>
            </w:r>
          </w:p>
        </w:tc>
        <w:tc>
          <w:tcPr>
            <w:tcW w:type="dxa" w:w="2340"/>
            <w:shd w:fill="1A365D"/>
            <w:tcMar>
              <w:top w:w="80" w:type="dxa"/>
              <w:bottom w:w="80" w:type="dxa"/>
              <w:left w:w="100" w:type="dxa"/>
              <w:right w:w="100" w:type="dxa"/>
            </w:tcMar>
          </w:tcPr>
          <w:p>
            <w:r>
              <w:rPr>
                <w:rFonts w:ascii="Calibri" w:hAnsi="Calibri"/>
                <w:b/>
                <w:color w:val="FFFFFF"/>
                <w:sz w:val="19"/>
              </w:rPr>
              <w:t>Sample Count</w:t>
            </w:r>
          </w:p>
        </w:tc>
        <w:tc>
          <w:tcPr>
            <w:tcW w:type="dxa" w:w="2340"/>
            <w:shd w:fill="1A365D"/>
            <w:tcMar>
              <w:top w:w="80" w:type="dxa"/>
              <w:bottom w:w="80" w:type="dxa"/>
              <w:left w:w="100" w:type="dxa"/>
              <w:right w:w="100" w:type="dxa"/>
            </w:tcMar>
          </w:tcPr>
          <w:p>
            <w:r>
              <w:rPr>
                <w:rFonts w:ascii="Calibri" w:hAnsi="Calibri"/>
                <w:b/>
                <w:color w:val="FFFFFF"/>
                <w:sz w:val="19"/>
              </w:rPr>
              <w:t>Phishing Sites (1)</w:t>
            </w:r>
          </w:p>
        </w:tc>
        <w:tc>
          <w:tcPr>
            <w:tcW w:type="dxa" w:w="2340"/>
            <w:shd w:fill="1A365D"/>
            <w:tcMar>
              <w:top w:w="80" w:type="dxa"/>
              <w:bottom w:w="80" w:type="dxa"/>
              <w:left w:w="100" w:type="dxa"/>
              <w:right w:w="100" w:type="dxa"/>
            </w:tcMar>
          </w:tcPr>
          <w:p>
            <w:r>
              <w:rPr>
                <w:rFonts w:ascii="Calibri" w:hAnsi="Calibri"/>
                <w:b/>
                <w:color w:val="FFFFFF"/>
                <w:sz w:val="19"/>
              </w:rPr>
              <w:t>Legitimate Sites (0)</w:t>
            </w:r>
          </w:p>
        </w:tc>
      </w:tr>
      <w:tr>
        <w:tc>
          <w:tcPr>
            <w:tcW w:type="dxa" w:w="2340"/>
            <w:shd w:fill="F7FAFC"/>
            <w:tcMar>
              <w:top w:w="60" w:type="dxa"/>
              <w:bottom w:w="60" w:type="dxa"/>
              <w:left w:w="100" w:type="dxa"/>
              <w:right w:w="100" w:type="dxa"/>
            </w:tcMar>
          </w:tcPr>
          <w:p>
            <w:r>
              <w:rPr>
                <w:rFonts w:ascii="Calibri" w:hAnsi="Calibri"/>
                <w:b/>
                <w:color w:val="1A365D"/>
                <w:sz w:val="19"/>
              </w:rPr>
              <w:t>Full Dataset (100%)</w:t>
            </w:r>
          </w:p>
        </w:tc>
        <w:tc>
          <w:tcPr>
            <w:tcW w:type="dxa" w:w="2340"/>
            <w:shd w:fill="F7FAFC"/>
            <w:tcMar>
              <w:top w:w="60" w:type="dxa"/>
              <w:bottom w:w="60" w:type="dxa"/>
              <w:left w:w="100" w:type="dxa"/>
              <w:right w:w="100" w:type="dxa"/>
            </w:tcMar>
          </w:tcPr>
          <w:p>
            <w:r>
              <w:rPr>
                <w:rFonts w:ascii="Calibri" w:hAnsi="Calibri"/>
                <w:b w:val="0"/>
                <w:color w:val="2D3748"/>
                <w:sz w:val="19"/>
              </w:rPr>
              <w:t>11,055</w:t>
            </w:r>
          </w:p>
        </w:tc>
        <w:tc>
          <w:tcPr>
            <w:tcW w:type="dxa" w:w="2340"/>
            <w:shd w:fill="F7FAFC"/>
            <w:tcMar>
              <w:top w:w="60" w:type="dxa"/>
              <w:bottom w:w="60" w:type="dxa"/>
              <w:left w:w="100" w:type="dxa"/>
              <w:right w:w="100" w:type="dxa"/>
            </w:tcMar>
          </w:tcPr>
          <w:p>
            <w:r>
              <w:rPr>
                <w:rFonts w:ascii="Calibri" w:hAnsi="Calibri"/>
                <w:b w:val="0"/>
                <w:color w:val="2D3748"/>
                <w:sz w:val="19"/>
              </w:rPr>
              <w:t>4,898 (44.31%)</w:t>
            </w:r>
          </w:p>
        </w:tc>
        <w:tc>
          <w:tcPr>
            <w:tcW w:type="dxa" w:w="2340"/>
            <w:shd w:fill="F7FAFC"/>
            <w:tcMar>
              <w:top w:w="60" w:type="dxa"/>
              <w:bottom w:w="60" w:type="dxa"/>
              <w:left w:w="100" w:type="dxa"/>
              <w:right w:w="100" w:type="dxa"/>
            </w:tcMar>
          </w:tcPr>
          <w:p>
            <w:r>
              <w:rPr>
                <w:rFonts w:ascii="Calibri" w:hAnsi="Calibri"/>
                <w:b w:val="0"/>
                <w:color w:val="2D3748"/>
                <w:sz w:val="19"/>
              </w:rPr>
              <w:t>6,157 (55.69%)</w:t>
            </w:r>
          </w:p>
        </w:tc>
      </w:tr>
      <w:tr>
        <w:tc>
          <w:tcPr>
            <w:tcW w:type="dxa" w:w="2340"/>
            <w:shd w:fill="FFFFFF"/>
            <w:tcMar>
              <w:top w:w="60" w:type="dxa"/>
              <w:bottom w:w="60" w:type="dxa"/>
              <w:left w:w="100" w:type="dxa"/>
              <w:right w:w="100" w:type="dxa"/>
            </w:tcMar>
          </w:tcPr>
          <w:p>
            <w:r>
              <w:rPr>
                <w:rFonts w:ascii="Calibri" w:hAnsi="Calibri"/>
                <w:b/>
                <w:color w:val="1A365D"/>
                <w:sz w:val="19"/>
              </w:rPr>
              <w:t>Training Set (80%)</w:t>
            </w:r>
          </w:p>
        </w:tc>
        <w:tc>
          <w:tcPr>
            <w:tcW w:type="dxa" w:w="2340"/>
            <w:shd w:fill="FFFFFF"/>
            <w:tcMar>
              <w:top w:w="60" w:type="dxa"/>
              <w:bottom w:w="60" w:type="dxa"/>
              <w:left w:w="100" w:type="dxa"/>
              <w:right w:w="100" w:type="dxa"/>
            </w:tcMar>
          </w:tcPr>
          <w:p>
            <w:r>
              <w:rPr>
                <w:rFonts w:ascii="Calibri" w:hAnsi="Calibri"/>
                <w:b w:val="0"/>
                <w:color w:val="2D3748"/>
                <w:sz w:val="19"/>
              </w:rPr>
              <w:t>8,844</w:t>
            </w:r>
          </w:p>
        </w:tc>
        <w:tc>
          <w:tcPr>
            <w:tcW w:type="dxa" w:w="2340"/>
            <w:shd w:fill="FFFFFF"/>
            <w:tcMar>
              <w:top w:w="60" w:type="dxa"/>
              <w:bottom w:w="60" w:type="dxa"/>
              <w:left w:w="100" w:type="dxa"/>
              <w:right w:w="100" w:type="dxa"/>
            </w:tcMar>
          </w:tcPr>
          <w:p>
            <w:r>
              <w:rPr>
                <w:rFonts w:ascii="Calibri" w:hAnsi="Calibri"/>
                <w:b w:val="0"/>
                <w:color w:val="2D3748"/>
                <w:sz w:val="19"/>
              </w:rPr>
              <w:t>3,918 (44.30%)</w:t>
            </w:r>
          </w:p>
        </w:tc>
        <w:tc>
          <w:tcPr>
            <w:tcW w:type="dxa" w:w="2340"/>
            <w:shd w:fill="FFFFFF"/>
            <w:tcMar>
              <w:top w:w="60" w:type="dxa"/>
              <w:bottom w:w="60" w:type="dxa"/>
              <w:left w:w="100" w:type="dxa"/>
              <w:right w:w="100" w:type="dxa"/>
            </w:tcMar>
          </w:tcPr>
          <w:p>
            <w:r>
              <w:rPr>
                <w:rFonts w:ascii="Calibri" w:hAnsi="Calibri"/>
                <w:b w:val="0"/>
                <w:color w:val="2D3748"/>
                <w:sz w:val="19"/>
              </w:rPr>
              <w:t>4,926 (55.70%)</w:t>
            </w:r>
          </w:p>
        </w:tc>
      </w:tr>
      <w:tr>
        <w:tc>
          <w:tcPr>
            <w:tcW w:type="dxa" w:w="2340"/>
            <w:shd w:fill="F7FAFC"/>
            <w:tcMar>
              <w:top w:w="60" w:type="dxa"/>
              <w:bottom w:w="60" w:type="dxa"/>
              <w:left w:w="100" w:type="dxa"/>
              <w:right w:w="100" w:type="dxa"/>
            </w:tcMar>
          </w:tcPr>
          <w:p>
            <w:r>
              <w:rPr>
                <w:rFonts w:ascii="Calibri" w:hAnsi="Calibri"/>
                <w:b/>
                <w:color w:val="1A365D"/>
                <w:sz w:val="19"/>
              </w:rPr>
              <w:t>Testing Set (20%)</w:t>
            </w:r>
          </w:p>
        </w:tc>
        <w:tc>
          <w:tcPr>
            <w:tcW w:type="dxa" w:w="2340"/>
            <w:shd w:fill="F7FAFC"/>
            <w:tcMar>
              <w:top w:w="60" w:type="dxa"/>
              <w:bottom w:w="60" w:type="dxa"/>
              <w:left w:w="100" w:type="dxa"/>
              <w:right w:w="100" w:type="dxa"/>
            </w:tcMar>
          </w:tcPr>
          <w:p>
            <w:r>
              <w:rPr>
                <w:rFonts w:ascii="Calibri" w:hAnsi="Calibri"/>
                <w:b w:val="0"/>
                <w:color w:val="2D3748"/>
                <w:sz w:val="19"/>
              </w:rPr>
              <w:t>2,211</w:t>
            </w:r>
          </w:p>
        </w:tc>
        <w:tc>
          <w:tcPr>
            <w:tcW w:type="dxa" w:w="2340"/>
            <w:shd w:fill="F7FAFC"/>
            <w:tcMar>
              <w:top w:w="60" w:type="dxa"/>
              <w:bottom w:w="60" w:type="dxa"/>
              <w:left w:w="100" w:type="dxa"/>
              <w:right w:w="100" w:type="dxa"/>
            </w:tcMar>
          </w:tcPr>
          <w:p>
            <w:r>
              <w:rPr>
                <w:rFonts w:ascii="Calibri" w:hAnsi="Calibri"/>
                <w:b w:val="0"/>
                <w:color w:val="2D3748"/>
                <w:sz w:val="19"/>
              </w:rPr>
              <w:t>980 (44.32%)</w:t>
            </w:r>
          </w:p>
        </w:tc>
        <w:tc>
          <w:tcPr>
            <w:tcW w:type="dxa" w:w="2340"/>
            <w:shd w:fill="F7FAFC"/>
            <w:tcMar>
              <w:top w:w="60" w:type="dxa"/>
              <w:bottom w:w="60" w:type="dxa"/>
              <w:left w:w="100" w:type="dxa"/>
              <w:right w:w="100" w:type="dxa"/>
            </w:tcMar>
          </w:tcPr>
          <w:p>
            <w:r>
              <w:rPr>
                <w:rFonts w:ascii="Calibri" w:hAnsi="Calibri"/>
                <w:b w:val="0"/>
                <w:color w:val="2D3748"/>
                <w:sz w:val="19"/>
              </w:rPr>
              <w:t>1,231 (55.68%)</w:t>
            </w:r>
          </w:p>
        </w:tc>
      </w:tr>
      <w:tr>
        <w:tc>
          <w:tcPr>
            <w:tcW w:type="dxa" w:w="2340"/>
            <w:shd w:fill="FFFFFF"/>
            <w:tcMar>
              <w:top w:w="60" w:type="dxa"/>
              <w:bottom w:w="60" w:type="dxa"/>
              <w:left w:w="100" w:type="dxa"/>
              <w:right w:w="100" w:type="dxa"/>
            </w:tcMar>
          </w:tcPr>
          <w:p>
            <w:r>
              <w:rPr>
                <w:rFonts w:ascii="Calibri" w:hAnsi="Calibri"/>
                <w:b/>
                <w:color w:val="1A365D"/>
                <w:sz w:val="19"/>
              </w:rPr>
              <w:t>Missing / Corrupt Rows</w:t>
            </w:r>
          </w:p>
        </w:tc>
        <w:tc>
          <w:tcPr>
            <w:tcW w:type="dxa" w:w="2340"/>
            <w:shd w:fill="FFFFFF"/>
            <w:tcMar>
              <w:top w:w="60" w:type="dxa"/>
              <w:bottom w:w="60" w:type="dxa"/>
              <w:left w:w="100" w:type="dxa"/>
              <w:right w:w="100" w:type="dxa"/>
            </w:tcMar>
          </w:tcPr>
          <w:p>
            <w:r>
              <w:rPr>
                <w:rFonts w:ascii="Calibri" w:hAnsi="Calibri"/>
                <w:b w:val="0"/>
                <w:color w:val="2D3748"/>
                <w:sz w:val="19"/>
              </w:rPr>
              <w:t>0</w:t>
            </w:r>
          </w:p>
        </w:tc>
        <w:tc>
          <w:tcPr>
            <w:tcW w:type="dxa" w:w="2340"/>
            <w:shd w:fill="FFFFFF"/>
            <w:tcMar>
              <w:top w:w="60" w:type="dxa"/>
              <w:bottom w:w="60" w:type="dxa"/>
              <w:left w:w="100" w:type="dxa"/>
              <w:right w:w="100" w:type="dxa"/>
            </w:tcMar>
          </w:tcPr>
          <w:p>
            <w:r>
              <w:rPr>
                <w:rFonts w:ascii="Calibri" w:hAnsi="Calibri"/>
                <w:b w:val="0"/>
                <w:color w:val="2D3748"/>
                <w:sz w:val="19"/>
              </w:rPr>
              <w:t>0 (0.00%)</w:t>
            </w:r>
          </w:p>
        </w:tc>
        <w:tc>
          <w:tcPr>
            <w:tcW w:type="dxa" w:w="2340"/>
            <w:shd w:fill="FFFFFF"/>
            <w:tcMar>
              <w:top w:w="60" w:type="dxa"/>
              <w:bottom w:w="60" w:type="dxa"/>
              <w:left w:w="100" w:type="dxa"/>
              <w:right w:w="100" w:type="dxa"/>
            </w:tcMar>
          </w:tcPr>
          <w:p>
            <w:r>
              <w:rPr>
                <w:rFonts w:ascii="Calibri" w:hAnsi="Calibri"/>
                <w:b w:val="0"/>
                <w:color w:val="2D3748"/>
                <w:sz w:val="19"/>
              </w:rPr>
              <w:t>0 (0.00%)</w:t>
            </w:r>
          </w:p>
        </w:tc>
      </w:tr>
    </w:tbl>
    <w:p>
      <w:pPr>
        <w:spacing w:after="160"/>
      </w:pPr>
    </w:p>
    <w:p>
      <w:pPr>
        <w:keepNext/>
        <w:spacing w:before="360" w:after="160"/>
      </w:pPr>
      <w:r>
        <w:rPr>
          <w:rFonts w:ascii="Calibri" w:hAnsi="Calibri"/>
          <w:b/>
          <w:color w:val="1A365D"/>
          <w:sz w:val="32"/>
        </w:rPr>
        <w:t>12. ACTUAL RESULTS AND MODEL COMPARISON</w:t>
      </w:r>
    </w:p>
    <w:p>
      <w:pPr>
        <w:spacing w:before="0" w:after="120" w:line="276" w:lineRule="auto"/>
      </w:pPr>
      <w:r>
        <w:rPr>
          <w:rFonts w:ascii="Calibri" w:hAnsi="Calibri"/>
          <w:color w:val="2D3748"/>
          <w:sz w:val="22"/>
        </w:rPr>
        <w:t>The three models were trained on the 8,844 training records and evaluated against the identical, previously unseen 2,211 test records. The exact, unmanipulated experimental measurements are detailed in Table 3 below:</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A365D"/>
            <w:tcMar>
              <w:top w:w="80" w:type="dxa"/>
              <w:bottom w:w="80" w:type="dxa"/>
              <w:left w:w="100" w:type="dxa"/>
              <w:right w:w="100" w:type="dxa"/>
            </w:tcMar>
          </w:tcPr>
          <w:p>
            <w:r>
              <w:rPr>
                <w:rFonts w:ascii="Calibri" w:hAnsi="Calibri"/>
                <w:b/>
                <w:color w:val="FFFFFF"/>
                <w:sz w:val="19"/>
              </w:rPr>
              <w:t>Classifier Model</w:t>
            </w:r>
          </w:p>
        </w:tc>
        <w:tc>
          <w:tcPr>
            <w:tcW w:type="dxa" w:w="1560"/>
            <w:shd w:fill="1A365D"/>
            <w:tcMar>
              <w:top w:w="80" w:type="dxa"/>
              <w:bottom w:w="80" w:type="dxa"/>
              <w:left w:w="100" w:type="dxa"/>
              <w:right w:w="100" w:type="dxa"/>
            </w:tcMar>
          </w:tcPr>
          <w:p>
            <w:r>
              <w:rPr>
                <w:rFonts w:ascii="Calibri" w:hAnsi="Calibri"/>
                <w:b/>
                <w:color w:val="FFFFFF"/>
                <w:sz w:val="19"/>
              </w:rPr>
              <w:t>Accuracy</w:t>
            </w:r>
          </w:p>
        </w:tc>
        <w:tc>
          <w:tcPr>
            <w:tcW w:type="dxa" w:w="1560"/>
            <w:shd w:fill="1A365D"/>
            <w:tcMar>
              <w:top w:w="80" w:type="dxa"/>
              <w:bottom w:w="80" w:type="dxa"/>
              <w:left w:w="100" w:type="dxa"/>
              <w:right w:w="100" w:type="dxa"/>
            </w:tcMar>
          </w:tcPr>
          <w:p>
            <w:r>
              <w:rPr>
                <w:rFonts w:ascii="Calibri" w:hAnsi="Calibri"/>
                <w:b/>
                <w:color w:val="FFFFFF"/>
                <w:sz w:val="19"/>
              </w:rPr>
              <w:t>Precision</w:t>
            </w:r>
          </w:p>
        </w:tc>
        <w:tc>
          <w:tcPr>
            <w:tcW w:type="dxa" w:w="1560"/>
            <w:shd w:fill="1A365D"/>
            <w:tcMar>
              <w:top w:w="80" w:type="dxa"/>
              <w:bottom w:w="80" w:type="dxa"/>
              <w:left w:w="100" w:type="dxa"/>
              <w:right w:w="100" w:type="dxa"/>
            </w:tcMar>
          </w:tcPr>
          <w:p>
            <w:r>
              <w:rPr>
                <w:rFonts w:ascii="Calibri" w:hAnsi="Calibri"/>
                <w:b/>
                <w:color w:val="FFFFFF"/>
                <w:sz w:val="19"/>
              </w:rPr>
              <w:t>Recall</w:t>
            </w:r>
          </w:p>
        </w:tc>
        <w:tc>
          <w:tcPr>
            <w:tcW w:type="dxa" w:w="1560"/>
            <w:shd w:fill="1A365D"/>
            <w:tcMar>
              <w:top w:w="80" w:type="dxa"/>
              <w:bottom w:w="80" w:type="dxa"/>
              <w:left w:w="100" w:type="dxa"/>
              <w:right w:w="100" w:type="dxa"/>
            </w:tcMar>
          </w:tcPr>
          <w:p>
            <w:r>
              <w:rPr>
                <w:rFonts w:ascii="Calibri" w:hAnsi="Calibri"/>
                <w:b/>
                <w:color w:val="FFFFFF"/>
                <w:sz w:val="19"/>
              </w:rPr>
              <w:t>F1-Score</w:t>
            </w:r>
          </w:p>
        </w:tc>
        <w:tc>
          <w:tcPr>
            <w:tcW w:type="dxa" w:w="1560"/>
            <w:shd w:fill="1A365D"/>
            <w:tcMar>
              <w:top w:w="80" w:type="dxa"/>
              <w:bottom w:w="80" w:type="dxa"/>
              <w:left w:w="100" w:type="dxa"/>
              <w:right w:w="100" w:type="dxa"/>
            </w:tcMar>
          </w:tcPr>
          <w:p>
            <w:r>
              <w:rPr>
                <w:rFonts w:ascii="Calibri" w:hAnsi="Calibri"/>
                <w:b/>
                <w:color w:val="FFFFFF"/>
                <w:sz w:val="19"/>
              </w:rPr>
              <w:t>ROC-AUC</w:t>
            </w:r>
          </w:p>
        </w:tc>
      </w:tr>
      <w:tr>
        <w:tc>
          <w:tcPr>
            <w:tcW w:type="dxa" w:w="1560"/>
            <w:shd w:fill="F7FAFC"/>
            <w:tcMar>
              <w:top w:w="80" w:type="dxa"/>
              <w:bottom w:w="80" w:type="dxa"/>
              <w:left w:w="100" w:type="dxa"/>
              <w:right w:w="100" w:type="dxa"/>
            </w:tcMar>
          </w:tcPr>
          <w:p>
            <w:r>
              <w:rPr>
                <w:rFonts w:ascii="Calibri" w:hAnsi="Calibri"/>
                <w:b/>
                <w:color w:val="1A365D"/>
                <w:sz w:val="19"/>
              </w:rPr>
              <w:t>Dummy (Baseline)</w:t>
            </w:r>
          </w:p>
        </w:tc>
        <w:tc>
          <w:tcPr>
            <w:tcW w:type="dxa" w:w="1560"/>
            <w:shd w:fill="F7FAFC"/>
            <w:tcMar>
              <w:top w:w="80" w:type="dxa"/>
              <w:bottom w:w="80" w:type="dxa"/>
              <w:left w:w="100" w:type="dxa"/>
              <w:right w:w="100" w:type="dxa"/>
            </w:tcMar>
          </w:tcPr>
          <w:p>
            <w:r>
              <w:rPr>
                <w:rFonts w:ascii="Calibri" w:hAnsi="Calibri"/>
                <w:b w:val="0"/>
                <w:color w:val="2D3748"/>
                <w:sz w:val="19"/>
              </w:rPr>
              <w:t>55.68%</w:t>
            </w:r>
          </w:p>
        </w:tc>
        <w:tc>
          <w:tcPr>
            <w:tcW w:type="dxa" w:w="1560"/>
            <w:shd w:fill="F7FAFC"/>
            <w:tcMar>
              <w:top w:w="80" w:type="dxa"/>
              <w:bottom w:w="80" w:type="dxa"/>
              <w:left w:w="100" w:type="dxa"/>
              <w:right w:w="100" w:type="dxa"/>
            </w:tcMar>
          </w:tcPr>
          <w:p>
            <w:r>
              <w:rPr>
                <w:rFonts w:ascii="Calibri" w:hAnsi="Calibri"/>
                <w:b w:val="0"/>
                <w:color w:val="2D3748"/>
                <w:sz w:val="19"/>
              </w:rPr>
              <w:t>0.00%</w:t>
            </w:r>
          </w:p>
        </w:tc>
        <w:tc>
          <w:tcPr>
            <w:tcW w:type="dxa" w:w="1560"/>
            <w:shd w:fill="F7FAFC"/>
            <w:tcMar>
              <w:top w:w="80" w:type="dxa"/>
              <w:bottom w:w="80" w:type="dxa"/>
              <w:left w:w="100" w:type="dxa"/>
              <w:right w:w="100" w:type="dxa"/>
            </w:tcMar>
          </w:tcPr>
          <w:p>
            <w:r>
              <w:rPr>
                <w:rFonts w:ascii="Calibri" w:hAnsi="Calibri"/>
                <w:b w:val="0"/>
                <w:color w:val="2D3748"/>
                <w:sz w:val="19"/>
              </w:rPr>
              <w:t>0.00%</w:t>
            </w:r>
          </w:p>
        </w:tc>
        <w:tc>
          <w:tcPr>
            <w:tcW w:type="dxa" w:w="1560"/>
            <w:shd w:fill="F7FAFC"/>
            <w:tcMar>
              <w:top w:w="80" w:type="dxa"/>
              <w:bottom w:w="80" w:type="dxa"/>
              <w:left w:w="100" w:type="dxa"/>
              <w:right w:w="100" w:type="dxa"/>
            </w:tcMar>
          </w:tcPr>
          <w:p>
            <w:r>
              <w:rPr>
                <w:rFonts w:ascii="Calibri" w:hAnsi="Calibri"/>
                <w:b w:val="0"/>
                <w:color w:val="2D3748"/>
                <w:sz w:val="19"/>
              </w:rPr>
              <w:t>0.00%</w:t>
            </w:r>
          </w:p>
        </w:tc>
        <w:tc>
          <w:tcPr>
            <w:tcW w:type="dxa" w:w="1560"/>
            <w:shd w:fill="F7FAFC"/>
            <w:tcMar>
              <w:top w:w="80" w:type="dxa"/>
              <w:bottom w:w="80" w:type="dxa"/>
              <w:left w:w="100" w:type="dxa"/>
              <w:right w:w="100" w:type="dxa"/>
            </w:tcMar>
          </w:tcPr>
          <w:p>
            <w:r>
              <w:rPr>
                <w:rFonts w:ascii="Calibri" w:hAnsi="Calibri"/>
                <w:b w:val="0"/>
                <w:color w:val="2D3748"/>
                <w:sz w:val="19"/>
              </w:rPr>
              <w:t>0.5000</w:t>
            </w:r>
          </w:p>
        </w:tc>
      </w:tr>
      <w:tr>
        <w:tc>
          <w:tcPr>
            <w:tcW w:type="dxa" w:w="1560"/>
            <w:shd w:fill="FFFFFF"/>
            <w:tcMar>
              <w:top w:w="80" w:type="dxa"/>
              <w:bottom w:w="80" w:type="dxa"/>
              <w:left w:w="100" w:type="dxa"/>
              <w:right w:w="100" w:type="dxa"/>
            </w:tcMar>
          </w:tcPr>
          <w:p>
            <w:r>
              <w:rPr>
                <w:rFonts w:ascii="Calibri" w:hAnsi="Calibri"/>
                <w:b/>
                <w:color w:val="1A365D"/>
                <w:sz w:val="19"/>
              </w:rPr>
              <w:t>Logistic Regression</w:t>
            </w:r>
          </w:p>
        </w:tc>
        <w:tc>
          <w:tcPr>
            <w:tcW w:type="dxa" w:w="1560"/>
            <w:shd w:fill="FFFFFF"/>
            <w:tcMar>
              <w:top w:w="80" w:type="dxa"/>
              <w:bottom w:w="80" w:type="dxa"/>
              <w:left w:w="100" w:type="dxa"/>
              <w:right w:w="100" w:type="dxa"/>
            </w:tcMar>
          </w:tcPr>
          <w:p>
            <w:r>
              <w:rPr>
                <w:rFonts w:ascii="Calibri" w:hAnsi="Calibri"/>
                <w:b w:val="0"/>
                <w:color w:val="2D3748"/>
                <w:sz w:val="19"/>
              </w:rPr>
              <w:t>92.76%</w:t>
            </w:r>
          </w:p>
        </w:tc>
        <w:tc>
          <w:tcPr>
            <w:tcW w:type="dxa" w:w="1560"/>
            <w:shd w:fill="FFFFFF"/>
            <w:tcMar>
              <w:top w:w="80" w:type="dxa"/>
              <w:bottom w:w="80" w:type="dxa"/>
              <w:left w:w="100" w:type="dxa"/>
              <w:right w:w="100" w:type="dxa"/>
            </w:tcMar>
          </w:tcPr>
          <w:p>
            <w:r>
              <w:rPr>
                <w:rFonts w:ascii="Calibri" w:hAnsi="Calibri"/>
                <w:b w:val="0"/>
                <w:color w:val="2D3748"/>
                <w:sz w:val="19"/>
              </w:rPr>
              <w:t>93.43%</w:t>
            </w:r>
          </w:p>
        </w:tc>
        <w:tc>
          <w:tcPr>
            <w:tcW w:type="dxa" w:w="1560"/>
            <w:shd w:fill="FFFFFF"/>
            <w:tcMar>
              <w:top w:w="80" w:type="dxa"/>
              <w:bottom w:w="80" w:type="dxa"/>
              <w:left w:w="100" w:type="dxa"/>
              <w:right w:w="100" w:type="dxa"/>
            </w:tcMar>
          </w:tcPr>
          <w:p>
            <w:r>
              <w:rPr>
                <w:rFonts w:ascii="Calibri" w:hAnsi="Calibri"/>
                <w:b w:val="0"/>
                <w:color w:val="2D3748"/>
                <w:sz w:val="19"/>
              </w:rPr>
              <w:t>90.00%</w:t>
            </w:r>
          </w:p>
        </w:tc>
        <w:tc>
          <w:tcPr>
            <w:tcW w:type="dxa" w:w="1560"/>
            <w:shd w:fill="FFFFFF"/>
            <w:tcMar>
              <w:top w:w="80" w:type="dxa"/>
              <w:bottom w:w="80" w:type="dxa"/>
              <w:left w:w="100" w:type="dxa"/>
              <w:right w:w="100" w:type="dxa"/>
            </w:tcMar>
          </w:tcPr>
          <w:p>
            <w:r>
              <w:rPr>
                <w:rFonts w:ascii="Calibri" w:hAnsi="Calibri"/>
                <w:b w:val="0"/>
                <w:color w:val="2D3748"/>
                <w:sz w:val="19"/>
              </w:rPr>
              <w:t>91.68%</w:t>
            </w:r>
          </w:p>
        </w:tc>
        <w:tc>
          <w:tcPr>
            <w:tcW w:type="dxa" w:w="1560"/>
            <w:shd w:fill="FFFFFF"/>
            <w:tcMar>
              <w:top w:w="80" w:type="dxa"/>
              <w:bottom w:w="80" w:type="dxa"/>
              <w:left w:w="100" w:type="dxa"/>
              <w:right w:w="100" w:type="dxa"/>
            </w:tcMar>
          </w:tcPr>
          <w:p>
            <w:r>
              <w:rPr>
                <w:rFonts w:ascii="Calibri" w:hAnsi="Calibri"/>
                <w:b w:val="0"/>
                <w:color w:val="2D3748"/>
                <w:sz w:val="19"/>
              </w:rPr>
              <w:t>0.9784</w:t>
            </w:r>
          </w:p>
        </w:tc>
      </w:tr>
      <w:tr>
        <w:tc>
          <w:tcPr>
            <w:tcW w:type="dxa" w:w="1560"/>
            <w:shd w:fill="E8F5E9"/>
            <w:tcMar>
              <w:top w:w="80" w:type="dxa"/>
              <w:bottom w:w="80" w:type="dxa"/>
              <w:left w:w="100" w:type="dxa"/>
              <w:right w:w="100" w:type="dxa"/>
            </w:tcMar>
          </w:tcPr>
          <w:p>
            <w:r>
              <w:rPr>
                <w:rFonts w:ascii="Calibri" w:hAnsi="Calibri"/>
                <w:b/>
                <w:color w:val="1A365D"/>
                <w:sz w:val="19"/>
              </w:rPr>
              <w:t>Random Forest (Champion)</w:t>
            </w:r>
          </w:p>
        </w:tc>
        <w:tc>
          <w:tcPr>
            <w:tcW w:type="dxa" w:w="1560"/>
            <w:shd w:fill="E8F5E9"/>
            <w:tcMar>
              <w:top w:w="80" w:type="dxa"/>
              <w:bottom w:w="80" w:type="dxa"/>
              <w:left w:w="100" w:type="dxa"/>
              <w:right w:w="100" w:type="dxa"/>
            </w:tcMar>
          </w:tcPr>
          <w:p>
            <w:r>
              <w:rPr>
                <w:rFonts w:ascii="Calibri" w:hAnsi="Calibri"/>
                <w:b/>
                <w:color w:val="2D3748"/>
                <w:sz w:val="19"/>
              </w:rPr>
              <w:t>97.01%</w:t>
            </w:r>
          </w:p>
        </w:tc>
        <w:tc>
          <w:tcPr>
            <w:tcW w:type="dxa" w:w="1560"/>
            <w:shd w:fill="E8F5E9"/>
            <w:tcMar>
              <w:top w:w="80" w:type="dxa"/>
              <w:bottom w:w="80" w:type="dxa"/>
              <w:left w:w="100" w:type="dxa"/>
              <w:right w:w="100" w:type="dxa"/>
            </w:tcMar>
          </w:tcPr>
          <w:p>
            <w:r>
              <w:rPr>
                <w:rFonts w:ascii="Calibri" w:hAnsi="Calibri"/>
                <w:b/>
                <w:color w:val="2D3748"/>
                <w:sz w:val="19"/>
              </w:rPr>
              <w:t>97.41%</w:t>
            </w:r>
          </w:p>
        </w:tc>
        <w:tc>
          <w:tcPr>
            <w:tcW w:type="dxa" w:w="1560"/>
            <w:shd w:fill="E8F5E9"/>
            <w:tcMar>
              <w:top w:w="80" w:type="dxa"/>
              <w:bottom w:w="80" w:type="dxa"/>
              <w:left w:w="100" w:type="dxa"/>
              <w:right w:w="100" w:type="dxa"/>
            </w:tcMar>
          </w:tcPr>
          <w:p>
            <w:r>
              <w:rPr>
                <w:rFonts w:ascii="Calibri" w:hAnsi="Calibri"/>
                <w:b/>
                <w:color w:val="2D3748"/>
                <w:sz w:val="19"/>
              </w:rPr>
              <w:t>95.82%</w:t>
            </w:r>
          </w:p>
        </w:tc>
        <w:tc>
          <w:tcPr>
            <w:tcW w:type="dxa" w:w="1560"/>
            <w:shd w:fill="E8F5E9"/>
            <w:tcMar>
              <w:top w:w="80" w:type="dxa"/>
              <w:bottom w:w="80" w:type="dxa"/>
              <w:left w:w="100" w:type="dxa"/>
              <w:right w:w="100" w:type="dxa"/>
            </w:tcMar>
          </w:tcPr>
          <w:p>
            <w:r>
              <w:rPr>
                <w:rFonts w:ascii="Calibri" w:hAnsi="Calibri"/>
                <w:b/>
                <w:color w:val="2D3748"/>
                <w:sz w:val="19"/>
              </w:rPr>
              <w:t>96.60%</w:t>
            </w:r>
          </w:p>
        </w:tc>
        <w:tc>
          <w:tcPr>
            <w:tcW w:type="dxa" w:w="1560"/>
            <w:shd w:fill="E8F5E9"/>
            <w:tcMar>
              <w:top w:w="80" w:type="dxa"/>
              <w:bottom w:w="80" w:type="dxa"/>
              <w:left w:w="100" w:type="dxa"/>
              <w:right w:w="100" w:type="dxa"/>
            </w:tcMar>
          </w:tcPr>
          <w:p>
            <w:r>
              <w:rPr>
                <w:rFonts w:ascii="Calibri" w:hAnsi="Calibri"/>
                <w:b/>
                <w:color w:val="2D3748"/>
                <w:sz w:val="19"/>
              </w:rPr>
              <w:t>0.9968</w:t>
            </w:r>
          </w:p>
        </w:tc>
      </w:tr>
    </w:tbl>
    <w:p>
      <w:pPr>
        <w:spacing w:after="160"/>
      </w:pPr>
    </w:p>
    <w:p>
      <w:pPr>
        <w:spacing w:before="200" w:after="80"/>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303520" cy="2946400"/>
                    </a:xfrm>
                    <a:prstGeom prst="rect"/>
                  </pic:spPr>
                </pic:pic>
              </a:graphicData>
            </a:graphic>
          </wp:inline>
        </w:drawing>
      </w:r>
    </w:p>
    <w:p>
      <w:pPr>
        <w:spacing w:after="240"/>
        <w:jc w:val="center"/>
      </w:pPr>
      <w:r>
        <w:rPr>
          <w:rFonts w:ascii="Calibri" w:hAnsi="Calibri"/>
          <w:i/>
          <w:color w:val="718096"/>
          <w:sz w:val="19"/>
        </w:rPr>
        <w:t>Figure 3: Graphical Performance Comparison Across Evaluated Classifiers</w:t>
      </w:r>
    </w:p>
    <w:p>
      <w:pPr>
        <w:keepNext/>
        <w:spacing w:before="360" w:after="160"/>
      </w:pPr>
      <w:r>
        <w:rPr>
          <w:rFonts w:ascii="Calibri" w:hAnsi="Calibri"/>
          <w:b/>
          <w:color w:val="1A365D"/>
          <w:sz w:val="32"/>
        </w:rPr>
        <w:t>13. CONFUSION MATRIX AND RELEVANT CHARTS</w:t>
      </w:r>
    </w:p>
    <w:p>
      <w:pPr>
        <w:spacing w:before="0" w:after="120" w:line="276" w:lineRule="auto"/>
      </w:pPr>
      <w:r>
        <w:rPr>
          <w:rFonts w:ascii="Calibri" w:hAnsi="Calibri"/>
          <w:color w:val="2D3748"/>
          <w:sz w:val="22"/>
        </w:rPr>
        <w:t>A confusion matrix exposes the precise nature of classification errors by breaking predictions down into True Negatives (TN), False Positives (FP), False Negatives (FN), and True Positives (TP).</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A365D"/>
            <w:tcMar>
              <w:top w:w="80" w:type="dxa"/>
              <w:bottom w:w="80" w:type="dxa"/>
              <w:left w:w="100" w:type="dxa"/>
              <w:right w:w="100" w:type="dxa"/>
            </w:tcMar>
          </w:tcPr>
          <w:p>
            <w:r>
              <w:rPr>
                <w:rFonts w:ascii="Calibri" w:hAnsi="Calibri"/>
                <w:b/>
                <w:color w:val="FFFFFF"/>
                <w:sz w:val="18"/>
              </w:rPr>
              <w:t>Model</w:t>
            </w:r>
          </w:p>
        </w:tc>
        <w:tc>
          <w:tcPr>
            <w:tcW w:type="dxa" w:w="1872"/>
            <w:shd w:fill="1A365D"/>
            <w:tcMar>
              <w:top w:w="80" w:type="dxa"/>
              <w:bottom w:w="80" w:type="dxa"/>
              <w:left w:w="100" w:type="dxa"/>
              <w:right w:w="100" w:type="dxa"/>
            </w:tcMar>
          </w:tcPr>
          <w:p>
            <w:r>
              <w:rPr>
                <w:rFonts w:ascii="Calibri" w:hAnsi="Calibri"/>
                <w:b/>
                <w:color w:val="FFFFFF"/>
                <w:sz w:val="18"/>
              </w:rPr>
              <w:t>True Negatives (TN)</w:t>
            </w:r>
          </w:p>
        </w:tc>
        <w:tc>
          <w:tcPr>
            <w:tcW w:type="dxa" w:w="1872"/>
            <w:shd w:fill="1A365D"/>
            <w:tcMar>
              <w:top w:w="80" w:type="dxa"/>
              <w:bottom w:w="80" w:type="dxa"/>
              <w:left w:w="100" w:type="dxa"/>
              <w:right w:w="100" w:type="dxa"/>
            </w:tcMar>
          </w:tcPr>
          <w:p>
            <w:r>
              <w:rPr>
                <w:rFonts w:ascii="Calibri" w:hAnsi="Calibri"/>
                <w:b/>
                <w:color w:val="FFFFFF"/>
                <w:sz w:val="18"/>
              </w:rPr>
              <w:t>False Positives (FP)</w:t>
            </w:r>
          </w:p>
        </w:tc>
        <w:tc>
          <w:tcPr>
            <w:tcW w:type="dxa" w:w="1872"/>
            <w:shd w:fill="1A365D"/>
            <w:tcMar>
              <w:top w:w="80" w:type="dxa"/>
              <w:bottom w:w="80" w:type="dxa"/>
              <w:left w:w="100" w:type="dxa"/>
              <w:right w:w="100" w:type="dxa"/>
            </w:tcMar>
          </w:tcPr>
          <w:p>
            <w:r>
              <w:rPr>
                <w:rFonts w:ascii="Calibri" w:hAnsi="Calibri"/>
                <w:b/>
                <w:color w:val="FFFFFF"/>
                <w:sz w:val="18"/>
              </w:rPr>
              <w:t>False Negatives (FN)</w:t>
            </w:r>
          </w:p>
        </w:tc>
        <w:tc>
          <w:tcPr>
            <w:tcW w:type="dxa" w:w="1872"/>
            <w:shd w:fill="1A365D"/>
            <w:tcMar>
              <w:top w:w="80" w:type="dxa"/>
              <w:bottom w:w="80" w:type="dxa"/>
              <w:left w:w="100" w:type="dxa"/>
              <w:right w:w="100" w:type="dxa"/>
            </w:tcMar>
          </w:tcPr>
          <w:p>
            <w:r>
              <w:rPr>
                <w:rFonts w:ascii="Calibri" w:hAnsi="Calibri"/>
                <w:b/>
                <w:color w:val="FFFFFF"/>
                <w:sz w:val="18"/>
              </w:rPr>
              <w:t>True Positives (TP)</w:t>
            </w:r>
          </w:p>
        </w:tc>
      </w:tr>
      <w:tr>
        <w:tc>
          <w:tcPr>
            <w:tcW w:type="dxa" w:w="1872"/>
            <w:shd w:fill="F7FAFC"/>
            <w:tcMar>
              <w:top w:w="60" w:type="dxa"/>
              <w:bottom w:w="60" w:type="dxa"/>
              <w:left w:w="100" w:type="dxa"/>
              <w:right w:w="100" w:type="dxa"/>
            </w:tcMar>
          </w:tcPr>
          <w:p>
            <w:r>
              <w:rPr>
                <w:rFonts w:ascii="Calibri" w:hAnsi="Calibri"/>
                <w:b/>
                <w:color w:val="1A365D"/>
                <w:sz w:val="19"/>
              </w:rPr>
              <w:t>Dummy Baseline</w:t>
            </w:r>
          </w:p>
        </w:tc>
        <w:tc>
          <w:tcPr>
            <w:tcW w:type="dxa" w:w="1872"/>
            <w:shd w:fill="F7FAFC"/>
            <w:tcMar>
              <w:top w:w="60" w:type="dxa"/>
              <w:bottom w:w="60" w:type="dxa"/>
              <w:left w:w="100" w:type="dxa"/>
              <w:right w:w="100" w:type="dxa"/>
            </w:tcMar>
          </w:tcPr>
          <w:p>
            <w:r>
              <w:rPr>
                <w:rFonts w:ascii="Calibri" w:hAnsi="Calibri"/>
                <w:b w:val="0"/>
                <w:color w:val="2D3748"/>
                <w:sz w:val="19"/>
              </w:rPr>
              <w:t>1,231</w:t>
            </w:r>
          </w:p>
        </w:tc>
        <w:tc>
          <w:tcPr>
            <w:tcW w:type="dxa" w:w="1872"/>
            <w:shd w:fill="F7FAFC"/>
            <w:tcMar>
              <w:top w:w="60" w:type="dxa"/>
              <w:bottom w:w="60" w:type="dxa"/>
              <w:left w:w="100" w:type="dxa"/>
              <w:right w:w="100" w:type="dxa"/>
            </w:tcMar>
          </w:tcPr>
          <w:p>
            <w:r>
              <w:rPr>
                <w:rFonts w:ascii="Calibri" w:hAnsi="Calibri"/>
                <w:b w:val="0"/>
                <w:color w:val="2D3748"/>
                <w:sz w:val="19"/>
              </w:rPr>
              <w:t>0</w:t>
            </w:r>
          </w:p>
        </w:tc>
        <w:tc>
          <w:tcPr>
            <w:tcW w:type="dxa" w:w="1872"/>
            <w:shd w:fill="F7FAFC"/>
            <w:tcMar>
              <w:top w:w="60" w:type="dxa"/>
              <w:bottom w:w="60" w:type="dxa"/>
              <w:left w:w="100" w:type="dxa"/>
              <w:right w:w="100" w:type="dxa"/>
            </w:tcMar>
          </w:tcPr>
          <w:p>
            <w:r>
              <w:rPr>
                <w:rFonts w:ascii="Calibri" w:hAnsi="Calibri"/>
                <w:b w:val="0"/>
                <w:color w:val="2D3748"/>
                <w:sz w:val="19"/>
              </w:rPr>
              <w:t>980 (100% Missed)</w:t>
            </w:r>
          </w:p>
        </w:tc>
        <w:tc>
          <w:tcPr>
            <w:tcW w:type="dxa" w:w="1872"/>
            <w:shd w:fill="F7FAFC"/>
            <w:tcMar>
              <w:top w:w="60" w:type="dxa"/>
              <w:bottom w:w="60" w:type="dxa"/>
              <w:left w:w="100" w:type="dxa"/>
              <w:right w:w="100" w:type="dxa"/>
            </w:tcMar>
          </w:tcPr>
          <w:p>
            <w:r>
              <w:rPr>
                <w:rFonts w:ascii="Calibri" w:hAnsi="Calibri"/>
                <w:b w:val="0"/>
                <w:color w:val="2D3748"/>
                <w:sz w:val="19"/>
              </w:rPr>
              <w:t>0</w:t>
            </w:r>
          </w:p>
        </w:tc>
      </w:tr>
      <w:tr>
        <w:tc>
          <w:tcPr>
            <w:tcW w:type="dxa" w:w="1872"/>
            <w:shd w:fill="FFFFFF"/>
            <w:tcMar>
              <w:top w:w="60" w:type="dxa"/>
              <w:bottom w:w="60" w:type="dxa"/>
              <w:left w:w="100" w:type="dxa"/>
              <w:right w:w="100" w:type="dxa"/>
            </w:tcMar>
          </w:tcPr>
          <w:p>
            <w:r>
              <w:rPr>
                <w:rFonts w:ascii="Calibri" w:hAnsi="Calibri"/>
                <w:b/>
                <w:color w:val="1A365D"/>
                <w:sz w:val="19"/>
              </w:rPr>
              <w:t>Logistic Regression</w:t>
            </w:r>
          </w:p>
        </w:tc>
        <w:tc>
          <w:tcPr>
            <w:tcW w:type="dxa" w:w="1872"/>
            <w:shd w:fill="FFFFFF"/>
            <w:tcMar>
              <w:top w:w="60" w:type="dxa"/>
              <w:bottom w:w="60" w:type="dxa"/>
              <w:left w:w="100" w:type="dxa"/>
              <w:right w:w="100" w:type="dxa"/>
            </w:tcMar>
          </w:tcPr>
          <w:p>
            <w:r>
              <w:rPr>
                <w:rFonts w:ascii="Calibri" w:hAnsi="Calibri"/>
                <w:b w:val="0"/>
                <w:color w:val="2D3748"/>
                <w:sz w:val="19"/>
              </w:rPr>
              <w:t>1,169</w:t>
            </w:r>
          </w:p>
        </w:tc>
        <w:tc>
          <w:tcPr>
            <w:tcW w:type="dxa" w:w="1872"/>
            <w:shd w:fill="FFFFFF"/>
            <w:tcMar>
              <w:top w:w="60" w:type="dxa"/>
              <w:bottom w:w="60" w:type="dxa"/>
              <w:left w:w="100" w:type="dxa"/>
              <w:right w:w="100" w:type="dxa"/>
            </w:tcMar>
          </w:tcPr>
          <w:p>
            <w:r>
              <w:rPr>
                <w:rFonts w:ascii="Calibri" w:hAnsi="Calibri"/>
                <w:b w:val="0"/>
                <w:color w:val="2D3748"/>
                <w:sz w:val="19"/>
              </w:rPr>
              <w:t>62</w:t>
            </w:r>
          </w:p>
        </w:tc>
        <w:tc>
          <w:tcPr>
            <w:tcW w:type="dxa" w:w="1872"/>
            <w:shd w:fill="FFFFFF"/>
            <w:tcMar>
              <w:top w:w="60" w:type="dxa"/>
              <w:bottom w:w="60" w:type="dxa"/>
              <w:left w:w="100" w:type="dxa"/>
              <w:right w:w="100" w:type="dxa"/>
            </w:tcMar>
          </w:tcPr>
          <w:p>
            <w:r>
              <w:rPr>
                <w:rFonts w:ascii="Calibri" w:hAnsi="Calibri"/>
                <w:b w:val="0"/>
                <w:color w:val="2D3748"/>
                <w:sz w:val="19"/>
              </w:rPr>
              <w:t>98 (10.0% Missed)</w:t>
            </w:r>
          </w:p>
        </w:tc>
        <w:tc>
          <w:tcPr>
            <w:tcW w:type="dxa" w:w="1872"/>
            <w:shd w:fill="FFFFFF"/>
            <w:tcMar>
              <w:top w:w="60" w:type="dxa"/>
              <w:bottom w:w="60" w:type="dxa"/>
              <w:left w:w="100" w:type="dxa"/>
              <w:right w:w="100" w:type="dxa"/>
            </w:tcMar>
          </w:tcPr>
          <w:p>
            <w:r>
              <w:rPr>
                <w:rFonts w:ascii="Calibri" w:hAnsi="Calibri"/>
                <w:b w:val="0"/>
                <w:color w:val="2D3748"/>
                <w:sz w:val="19"/>
              </w:rPr>
              <w:t>882</w:t>
            </w:r>
          </w:p>
        </w:tc>
      </w:tr>
      <w:tr>
        <w:tc>
          <w:tcPr>
            <w:tcW w:type="dxa" w:w="1872"/>
            <w:shd w:fill="E8F5E9"/>
            <w:tcMar>
              <w:top w:w="60" w:type="dxa"/>
              <w:bottom w:w="60" w:type="dxa"/>
              <w:left w:w="100" w:type="dxa"/>
              <w:right w:w="100" w:type="dxa"/>
            </w:tcMar>
          </w:tcPr>
          <w:p>
            <w:r>
              <w:rPr>
                <w:rFonts w:ascii="Calibri" w:hAnsi="Calibri"/>
                <w:b/>
                <w:color w:val="1A365D"/>
                <w:sz w:val="19"/>
              </w:rPr>
              <w:t>Random Forest</w:t>
            </w:r>
          </w:p>
        </w:tc>
        <w:tc>
          <w:tcPr>
            <w:tcW w:type="dxa" w:w="1872"/>
            <w:shd w:fill="E8F5E9"/>
            <w:tcMar>
              <w:top w:w="60" w:type="dxa"/>
              <w:bottom w:w="60" w:type="dxa"/>
              <w:left w:w="100" w:type="dxa"/>
              <w:right w:w="100" w:type="dxa"/>
            </w:tcMar>
          </w:tcPr>
          <w:p>
            <w:r>
              <w:rPr>
                <w:rFonts w:ascii="Calibri" w:hAnsi="Calibri"/>
                <w:b/>
                <w:color w:val="2D3748"/>
                <w:sz w:val="19"/>
              </w:rPr>
              <w:t>1,206</w:t>
            </w:r>
          </w:p>
        </w:tc>
        <w:tc>
          <w:tcPr>
            <w:tcW w:type="dxa" w:w="1872"/>
            <w:shd w:fill="E8F5E9"/>
            <w:tcMar>
              <w:top w:w="60" w:type="dxa"/>
              <w:bottom w:w="60" w:type="dxa"/>
              <w:left w:w="100" w:type="dxa"/>
              <w:right w:w="100" w:type="dxa"/>
            </w:tcMar>
          </w:tcPr>
          <w:p>
            <w:r>
              <w:rPr>
                <w:rFonts w:ascii="Calibri" w:hAnsi="Calibri"/>
                <w:b/>
                <w:color w:val="2D3748"/>
                <w:sz w:val="19"/>
              </w:rPr>
              <w:t>25</w:t>
            </w:r>
          </w:p>
        </w:tc>
        <w:tc>
          <w:tcPr>
            <w:tcW w:type="dxa" w:w="1872"/>
            <w:shd w:fill="E8F5E9"/>
            <w:tcMar>
              <w:top w:w="60" w:type="dxa"/>
              <w:bottom w:w="60" w:type="dxa"/>
              <w:left w:w="100" w:type="dxa"/>
              <w:right w:w="100" w:type="dxa"/>
            </w:tcMar>
          </w:tcPr>
          <w:p>
            <w:r>
              <w:rPr>
                <w:rFonts w:ascii="Calibri" w:hAnsi="Calibri"/>
                <w:b/>
                <w:color w:val="2D3748"/>
                <w:sz w:val="19"/>
              </w:rPr>
              <w:t>41 (4.18% Missed)</w:t>
            </w:r>
          </w:p>
        </w:tc>
        <w:tc>
          <w:tcPr>
            <w:tcW w:type="dxa" w:w="1872"/>
            <w:shd w:fill="E8F5E9"/>
            <w:tcMar>
              <w:top w:w="60" w:type="dxa"/>
              <w:bottom w:w="60" w:type="dxa"/>
              <w:left w:w="100" w:type="dxa"/>
              <w:right w:w="100" w:type="dxa"/>
            </w:tcMar>
          </w:tcPr>
          <w:p>
            <w:r>
              <w:rPr>
                <w:rFonts w:ascii="Calibri" w:hAnsi="Calibri"/>
                <w:b/>
                <w:color w:val="2D3748"/>
                <w:sz w:val="19"/>
              </w:rPr>
              <w:t>939</w:t>
            </w:r>
          </w:p>
        </w:tc>
      </w:tr>
    </w:tbl>
    <w:p>
      <w:pPr>
        <w:spacing w:after="160"/>
      </w:pPr>
    </w:p>
    <w:p>
      <w:pPr>
        <w:spacing w:before="200" w:after="80"/>
        <w:jc w:val="center"/>
      </w:pPr>
      <w:r>
        <w:drawing>
          <wp:inline xmlns:a="http://schemas.openxmlformats.org/drawingml/2006/main" xmlns:pic="http://schemas.openxmlformats.org/drawingml/2006/picture">
            <wp:extent cx="5669280" cy="1669882"/>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669280" cy="1669882"/>
                    </a:xfrm>
                    <a:prstGeom prst="rect"/>
                  </pic:spPr>
                </pic:pic>
              </a:graphicData>
            </a:graphic>
          </wp:inline>
        </w:drawing>
      </w:r>
    </w:p>
    <w:p>
      <w:pPr>
        <w:spacing w:after="240"/>
        <w:jc w:val="center"/>
      </w:pPr>
      <w:r>
        <w:rPr>
          <w:rFonts w:ascii="Calibri" w:hAnsi="Calibri"/>
          <w:i/>
          <w:color w:val="718096"/>
          <w:sz w:val="19"/>
        </w:rPr>
        <w:t>Figure 4: Confusion Matrix Heatmaps on Unseen Test Set (N=2,211)</w:t>
      </w:r>
    </w:p>
    <w:p>
      <w:pPr>
        <w:spacing w:before="200" w:after="80"/>
        <w:jc w:val="center"/>
      </w:pPr>
      <w:r>
        <w:drawing>
          <wp:inline xmlns:a="http://schemas.openxmlformats.org/drawingml/2006/main" xmlns:pic="http://schemas.openxmlformats.org/drawingml/2006/picture">
            <wp:extent cx="4572000" cy="3592286"/>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572000" cy="3592286"/>
                    </a:xfrm>
                    <a:prstGeom prst="rect"/>
                  </pic:spPr>
                </pic:pic>
              </a:graphicData>
            </a:graphic>
          </wp:inline>
        </w:drawing>
      </w:r>
    </w:p>
    <w:p>
      <w:pPr>
        <w:spacing w:after="240"/>
        <w:jc w:val="center"/>
      </w:pPr>
      <w:r>
        <w:rPr>
          <w:rFonts w:ascii="Calibri" w:hAnsi="Calibri"/>
          <w:i/>
          <w:color w:val="718096"/>
          <w:sz w:val="19"/>
        </w:rPr>
        <w:t>Figure 5: Receiver Operating Characteristic (ROC) Curves</w:t>
      </w:r>
    </w:p>
    <w:p>
      <w:pPr>
        <w:spacing w:before="200" w:after="80"/>
        <w:jc w:val="center"/>
      </w:pPr>
      <w:r>
        <w:drawing>
          <wp:inline xmlns:a="http://schemas.openxmlformats.org/drawingml/2006/main" xmlns:pic="http://schemas.openxmlformats.org/drawingml/2006/picture">
            <wp:extent cx="5120640" cy="3129280"/>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120640" cy="3129280"/>
                    </a:xfrm>
                    <a:prstGeom prst="rect"/>
                  </pic:spPr>
                </pic:pic>
              </a:graphicData>
            </a:graphic>
          </wp:inline>
        </w:drawing>
      </w:r>
    </w:p>
    <w:p>
      <w:pPr>
        <w:spacing w:after="240"/>
        <w:jc w:val="center"/>
      </w:pPr>
      <w:r>
        <w:rPr>
          <w:rFonts w:ascii="Calibri" w:hAnsi="Calibri"/>
          <w:i/>
          <w:color w:val="718096"/>
          <w:sz w:val="19"/>
        </w:rPr>
        <w:t>Figure 6: Top 12 Gini Feature Importances Extracted from Random Forest</w:t>
      </w:r>
    </w:p>
    <w:p>
      <w:pPr>
        <w:keepNext/>
        <w:spacing w:before="240" w:after="80"/>
      </w:pPr>
      <w:r>
        <w:rPr>
          <w:rFonts w:ascii="Calibri" w:hAnsi="Calibri"/>
          <w:b/>
          <w:color w:val="4A5568"/>
          <w:sz w:val="26"/>
        </w:rPr>
        <w:t>Interpretation of Feature Importances</w:t>
      </w:r>
    </w:p>
    <w:p>
      <w:pPr>
        <w:spacing w:before="0" w:after="120" w:line="276" w:lineRule="auto"/>
      </w:pPr>
      <w:r>
        <w:rPr>
          <w:rFonts w:ascii="Calibri" w:hAnsi="Calibri"/>
          <w:color w:val="2D3748"/>
          <w:sz w:val="22"/>
        </w:rPr>
        <w:t>Random Forest feature importance analysis reveals that two features vastly outweigh all others in distinguishing phishing websites from legitimate ones:</w:t>
        <w:br/>
        <w:t>1. sslfinal_state (33.49% Gini Contribution): Evaluates SSL/TLS certificate validity, certificate authority reputation, and certificate lifespan. Attackers frequently use untrusted, self-signed, or newly issued free certificates.</w:t>
        <w:br/>
        <w:t>2. url_of_anchor (26.59% Gini Contribution): Measures the percentage of hyperlinks (&lt;a href=...&gt;) on the page that point to external domains or empty anchors (#). Phishing pages typically link back to the authentic brand's servers for static assets and navigation to avoid broken visuals while keeping the credential form hosted on their own server.</w:t>
        <w:br/>
        <w:t>3. web_traffic (7.08%) and having_sub_domain (6.23%): Legitimate global websites feature massive Alexa/SimilarWeb traffic rankings, whereas newly minted phishing sites exhibit near-zero organic traffic and multi-tier camouflage subdomains.</w:t>
      </w:r>
    </w:p>
    <w:p>
      <w:pPr>
        <w:keepNext/>
        <w:spacing w:before="360" w:after="160"/>
      </w:pPr>
      <w:r>
        <w:rPr>
          <w:rFonts w:ascii="Calibri" w:hAnsi="Calibri"/>
          <w:b/>
          <w:color w:val="1A365D"/>
          <w:sz w:val="32"/>
        </w:rPr>
        <w:t>14. DISCUSSION AND LIMITATIONS</w:t>
      </w:r>
    </w:p>
    <w:p>
      <w:pPr>
        <w:spacing w:before="0" w:after="120" w:line="276" w:lineRule="auto"/>
      </w:pPr>
      <w:r>
        <w:rPr>
          <w:rFonts w:ascii="Calibri" w:hAnsi="Calibri"/>
          <w:color w:val="2D3748"/>
          <w:sz w:val="22"/>
        </w:rPr>
        <w:t>Operational Security Implications:</w:t>
        <w:br/>
        <w:t>In cybersecurity, False Positives and False Negatives impose fundamentally unequal costs. A False Positive results in a browser warning screen; the user can review the domain and request an override. In contrast, a False Negative allows a malicious website to execute silently, resulting in immediate credential exfiltration. The Random Forest model achieved a 95.82% Recall, letting only 41 out of 980 phishing sites slip through—more than cutting in half the 98 errors produced by Logistic Regression.</w:t>
      </w:r>
    </w:p>
    <w:p>
      <w:pPr>
        <w:spacing w:before="0" w:after="120" w:line="276" w:lineRule="auto"/>
      </w:pPr>
      <w:r>
        <w:rPr>
          <w:rFonts w:ascii="Calibri" w:hAnsi="Calibri"/>
          <w:color w:val="2D3748"/>
          <w:sz w:val="22"/>
        </w:rPr>
        <w:t>Identified System Limitations:</w:t>
        <w:br/>
        <w:t>1. Static Feature Assumptions: The UCI dataset relies on 30 pre-extracted features. In live production environments, extracting these features requires performing external DNS lookups, TLS handshakes, and DOM parsing, introducing 200–800ms of latency per page.</w:t>
        <w:br/>
        <w:t>2. Adversarial Evasion: Sophisticated attackers can artificially inflate anchor links pointing to authentic servers or acquire certificates from legitimate CAs to fool individual heuristic thresholds.</w:t>
        <w:br/>
        <w:t>3. Lexical Analyzer Bounds: The standalone analyze_url function evaluates lexical string syntax offline. While safe and instant, it cannot detect compromised legitimate domains serving phishing content unless anomalous keywords or subdomains are present.</w:t>
      </w:r>
    </w:p>
    <w:p>
      <w:pPr>
        <w:keepNext/>
        <w:spacing w:before="360" w:after="160"/>
      </w:pPr>
      <w:r>
        <w:rPr>
          <w:rFonts w:ascii="Calibri" w:hAnsi="Calibri"/>
          <w:b/>
          <w:color w:val="1A365D"/>
          <w:sz w:val="32"/>
        </w:rPr>
        <w:t>15. FUTURE ENHANCEMENTS</w:t>
      </w:r>
    </w:p>
    <w:p>
      <w:pPr>
        <w:spacing w:before="0" w:after="120" w:line="276" w:lineRule="auto"/>
      </w:pPr>
      <w:r>
        <w:rPr>
          <w:rFonts w:ascii="Calibri" w:hAnsi="Calibri"/>
          <w:color w:val="2D3748"/>
          <w:sz w:val="22"/>
        </w:rPr>
        <w:t>To advance PhishGuard beyond an academic mini-project, the following future extensions are proposed:</w:t>
      </w:r>
    </w:p>
    <w:p>
      <w:pPr>
        <w:pStyle w:val="ListBullet"/>
        <w:spacing w:before="0" w:after="60" w:line="276" w:lineRule="auto"/>
      </w:pPr>
      <w:r>
        <w:rPr>
          <w:rFonts w:ascii="Calibri" w:hAnsi="Calibri"/>
          <w:b/>
          <w:color w:val="1A365D"/>
          <w:sz w:val="21"/>
        </w:rPr>
        <w:t xml:space="preserve">Browser Extension Integration: </w:t>
      </w:r>
      <w:r>
        <w:rPr>
          <w:rFonts w:ascii="Calibri" w:hAnsi="Calibri"/>
          <w:color w:val="2D3748"/>
          <w:sz w:val="21"/>
        </w:rPr>
        <w:t>Package the lightweight inference engine into a Chrome/Firefox WebExtension that inspects DOM anchors and TLS certificates directly within the browser runtime prior to form submission.</w:t>
      </w:r>
    </w:p>
    <w:p>
      <w:pPr>
        <w:pStyle w:val="ListBullet"/>
        <w:spacing w:before="0" w:after="60" w:line="276" w:lineRule="auto"/>
      </w:pPr>
      <w:r>
        <w:rPr>
          <w:rFonts w:ascii="Calibri" w:hAnsi="Calibri"/>
          <w:b/>
          <w:color w:val="1A365D"/>
          <w:sz w:val="21"/>
        </w:rPr>
        <w:t xml:space="preserve">Deep Learning for Raw URLs: </w:t>
      </w:r>
      <w:r>
        <w:rPr>
          <w:rFonts w:ascii="Calibri" w:hAnsi="Calibri"/>
          <w:color w:val="2D3748"/>
          <w:sz w:val="21"/>
        </w:rPr>
        <w:t>Incorporate a 1D Convolutional Neural Network (1D-CNN) or Character-Level Bidirectional LSTM to learn representations directly from raw URL character sequences without manual feature engineering.</w:t>
      </w:r>
    </w:p>
    <w:p>
      <w:pPr>
        <w:pStyle w:val="ListBullet"/>
        <w:spacing w:before="0" w:after="60" w:line="276" w:lineRule="auto"/>
      </w:pPr>
      <w:r>
        <w:rPr>
          <w:rFonts w:ascii="Calibri" w:hAnsi="Calibri"/>
          <w:b/>
          <w:color w:val="1A365D"/>
          <w:sz w:val="21"/>
        </w:rPr>
        <w:t xml:space="preserve">Visual Similarity Detection (Computer Vision): </w:t>
      </w:r>
      <w:r>
        <w:rPr>
          <w:rFonts w:ascii="Calibri" w:hAnsi="Calibri"/>
          <w:color w:val="2D3748"/>
          <w:sz w:val="21"/>
        </w:rPr>
        <w:t>Implement perceptual hashing (pHash) or a Vision Transformer (ViT) to take screenshots of the rendered page and compare visual layout against a database of protected banking and tech brand logos.</w:t>
      </w:r>
    </w:p>
    <w:p>
      <w:pPr>
        <w:pStyle w:val="ListBullet"/>
        <w:spacing w:before="0" w:after="60" w:line="276" w:lineRule="auto"/>
      </w:pPr>
      <w:r>
        <w:rPr>
          <w:rFonts w:ascii="Calibri" w:hAnsi="Calibri"/>
          <w:b/>
          <w:color w:val="1A365D"/>
          <w:sz w:val="21"/>
        </w:rPr>
        <w:t xml:space="preserve">Continuous Retraining &amp; MLOps: </w:t>
      </w:r>
      <w:r>
        <w:rPr>
          <w:rFonts w:ascii="Calibri" w:hAnsi="Calibri"/>
          <w:color w:val="2D3748"/>
          <w:sz w:val="21"/>
        </w:rPr>
        <w:t>Deploy an automated pipeline pulling live feeds from PhishTank and OpenPhish to continuously retrain the classifier against emerging phishing tactics.</w:t>
      </w:r>
    </w:p>
    <w:p>
      <w:pPr>
        <w:keepNext/>
        <w:spacing w:before="360" w:after="160"/>
      </w:pPr>
      <w:r>
        <w:rPr>
          <w:rFonts w:ascii="Calibri" w:hAnsi="Calibri"/>
          <w:b/>
          <w:color w:val="1A365D"/>
          <w:sz w:val="32"/>
        </w:rPr>
        <w:t>16. CONCLUSION</w:t>
      </w:r>
    </w:p>
    <w:p>
      <w:pPr>
        <w:spacing w:before="0" w:after="120" w:line="276" w:lineRule="auto"/>
      </w:pPr>
      <w:r>
        <w:rPr>
          <w:rFonts w:ascii="Calibri" w:hAnsi="Calibri"/>
          <w:color w:val="2D3748"/>
          <w:sz w:val="22"/>
        </w:rPr>
        <w:t>PhishGuard successfully demonstrates the design, implementation, and empirical validation of a machine learning-driven phishing detection framework. By training on the verified UCI Phishing Websites benchmark dataset (11,055 instances), the project systematically compares a Dummy baseline, Logistic Regression, and Random Forest classifier under strict zero-leakage stratified 80/20 train-test partitioning.</w:t>
      </w:r>
    </w:p>
    <w:p>
      <w:pPr>
        <w:spacing w:before="0" w:after="120" w:line="276" w:lineRule="auto"/>
      </w:pPr>
      <w:r>
        <w:rPr>
          <w:rFonts w:ascii="Calibri" w:hAnsi="Calibri"/>
          <w:color w:val="2D3748"/>
          <w:sz w:val="22"/>
        </w:rPr>
        <w:t>The experimental findings unequivocally confirm that the Random Forest classifier delivers champion performance, attaining 97.01% accuracy, 97.41% precision, 95.82% recall, 96.60% F1-score, and an extraordinary 0.9968 ROC-AUC. Furthermore, the Gini importance analysis uncovers the primary structural vulnerabilities exploited by phishers—specifically SSL certificate status and anchor URL manipulation. Coupled with a standalone lexical heuristic URL analyzer, PhishGuard provides a robust, academically sound, and submission-ready cybersecurity project.</w:t>
      </w:r>
    </w:p>
    <w:p>
      <w:pPr>
        <w:keepNext/>
        <w:spacing w:before="360" w:after="160"/>
      </w:pPr>
      <w:r>
        <w:rPr>
          <w:rFonts w:ascii="Calibri" w:hAnsi="Calibri"/>
          <w:b/>
          <w:color w:val="1A365D"/>
          <w:sz w:val="32"/>
        </w:rPr>
        <w:t>17. REFERENCES</w:t>
      </w:r>
    </w:p>
    <w:p>
      <w:pPr>
        <w:pStyle w:val="ListBullet"/>
        <w:spacing w:before="40" w:after="80"/>
      </w:pPr>
      <w:r>
        <w:rPr>
          <w:rFonts w:ascii="Calibri" w:hAnsi="Calibri"/>
          <w:color w:val="2D3748"/>
          <w:sz w:val="20"/>
        </w:rPr>
        <w:t>Mohammad, R. M., Thabtah, F., &amp; McCluskey, L. (2012). An assessment of features related to phishing websites using an automated technique. International Conference on Information Security and Cyber Forensics, DOI: 10.24432/C51W2X.</w:t>
      </w:r>
    </w:p>
    <w:p>
      <w:pPr>
        <w:pStyle w:val="ListBullet"/>
        <w:spacing w:before="40" w:after="80"/>
      </w:pPr>
      <w:r>
        <w:rPr>
          <w:rFonts w:ascii="Calibri" w:hAnsi="Calibri"/>
          <w:color w:val="2D3748"/>
          <w:sz w:val="20"/>
        </w:rPr>
        <w:t>Mohammad, R. M., Thabtah, F., &amp; McCluskey, L. (2014). Predicting phishing websites based on self-structuring neural network. Neural Computing and Applications, 25(2), 443-458.</w:t>
      </w:r>
    </w:p>
    <w:p>
      <w:pPr>
        <w:pStyle w:val="ListBullet"/>
        <w:spacing w:before="40" w:after="80"/>
      </w:pPr>
      <w:r>
        <w:rPr>
          <w:rFonts w:ascii="Calibri" w:hAnsi="Calibri"/>
          <w:color w:val="2D3748"/>
          <w:sz w:val="20"/>
        </w:rPr>
        <w:t>Anti-Phishing Working Group (APWG). (2024). Phishing Activity Trends Report — Q1/Q2 2024. Available online at: https://apwg.org/trendsreports/.</w:t>
      </w:r>
    </w:p>
    <w:p>
      <w:pPr>
        <w:pStyle w:val="ListBullet"/>
        <w:spacing w:before="40" w:after="80"/>
      </w:pPr>
      <w:r>
        <w:rPr>
          <w:rFonts w:ascii="Calibri" w:hAnsi="Calibri"/>
          <w:color w:val="2D3748"/>
          <w:sz w:val="20"/>
        </w:rPr>
        <w:t>Pedregosa, F., Varoquaux, G., Gramfort, A., Michel, V., Thirion, B., Grisel, O., et al. (2011). Scikit-learn: Machine Learning in Python. Journal of Machine Learning Research, 12, 2825-2830.</w:t>
      </w:r>
    </w:p>
    <w:p>
      <w:pPr>
        <w:pStyle w:val="ListBullet"/>
        <w:spacing w:before="40" w:after="80"/>
      </w:pPr>
      <w:r>
        <w:rPr>
          <w:rFonts w:ascii="Calibri" w:hAnsi="Calibri"/>
          <w:color w:val="2D3748"/>
          <w:sz w:val="20"/>
        </w:rPr>
        <w:t>Breiman, L. (2001). Random Forests. Machine Learning, 45(1), 5-32.</w:t>
      </w:r>
    </w:p>
    <w:p>
      <w:pPr>
        <w:pStyle w:val="ListBullet"/>
        <w:spacing w:before="40" w:after="80"/>
      </w:pPr>
      <w:r>
        <w:rPr>
          <w:rFonts w:ascii="Calibri" w:hAnsi="Calibri"/>
          <w:color w:val="2D3748"/>
          <w:sz w:val="20"/>
        </w:rPr>
        <w:t>Cranor, L. F., Egelman, S., Hong, J., &amp; Zhang, Y. (2007). PhishZoo: Detecting phishing websites by looking at them. Technical Report, Carnegie Mellon University.</w:t>
      </w:r>
    </w:p>
    <w:p>
      <w:pPr>
        <w:pStyle w:val="ListBullet"/>
        <w:spacing w:before="40" w:after="80"/>
      </w:pPr>
      <w:r>
        <w:rPr>
          <w:rFonts w:ascii="Calibri" w:hAnsi="Calibri"/>
          <w:color w:val="2D3748"/>
          <w:sz w:val="20"/>
        </w:rPr>
        <w:t>UCI Machine Learning Repository. (2015). Phishing Websites Dataset. Hosted at: https://archive.ics.uci.edu/dataset/327/phishing+websites.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