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Kaveri Chairs Pvt Ltd — Board memo, FY2026-27 budget</w:t>
      </w:r>
    </w:p>
    <w:p>
      <w:r>
        <w:t>To: Board of Directors · From: CFO · Date: 2026-04-06 · Unit: ₹ lakh · Basis: management (MIS), ex-GST</w:t>
      </w:r>
    </w:p>
    <w:p>
      <w:pPr>
        <w:pStyle w:val="Heading1"/>
      </w:pPr>
      <w:r>
        <w:t>Headline</w:t>
      </w:r>
    </w:p>
    <w:p>
      <w:pPr>
        <w:pStyle w:val="ListBullet"/>
      </w:pPr>
      <w:r>
        <w:t>Revenue ₹3,500.00 L; EBITDA ₹629.00 L; net income ₹350.23 L; ending cash ₹454.46 L</w:t>
      </w:r>
    </w:p>
    <w:p>
      <w:pPr>
        <w:pStyle w:val="Heading1"/>
      </w:pPr>
      <w:r>
        <w:t>What changed</w:t>
      </w:r>
    </w:p>
    <w:p>
      <w:pPr>
        <w:pStyle w:val="ListBullet"/>
      </w:pPr>
      <w:r>
        <w:t>Dealer network budgeted +12% on FY2025-26 with a stronger November (Deepavali) weight after the CFO's correction</w:t>
      </w:r>
    </w:p>
    <w:p>
      <w:pPr>
        <w:pStyle w:val="ListBullet"/>
      </w:pPr>
      <w:r>
        <w:t>Online marketplaces +25% but at 62% COGS incl. commission — lowest contribution channel</w:t>
      </w:r>
    </w:p>
    <w:p>
      <w:pPr>
        <w:pStyle w:val="ListBullet"/>
      </w:pPr>
      <w:r>
        <w:t>Imported mechanism LC of ₹1.35 crore retires in week 5 (4 May 2026)</w:t>
      </w:r>
    </w:p>
    <w:p>
      <w:pPr>
        <w:pStyle w:val="Heading1"/>
      </w:pPr>
      <w:r>
        <w:t>13-week cash runway</w:t>
      </w:r>
    </w:p>
    <w:p>
      <w:pPr>
        <w:pStyle w:val="ListBullet"/>
      </w:pPr>
      <w:r>
        <w:t>Trough: ₹-31.85 lakh (week 5)</w:t>
      </w:r>
    </w:p>
    <w:p>
      <w:pPr>
        <w:pStyle w:val="ListBullet"/>
      </w:pPr>
      <w:r>
        <w:t>First negative week: 5</w:t>
      </w:r>
    </w:p>
    <w:p>
      <w:pPr>
        <w:pStyle w:val="ListBullet"/>
      </w:pPr>
      <w:r>
        <w:t>Recommended: ₹36.63 lakh bridge before week 5</w:t>
      </w:r>
    </w:p>
    <w:p>
      <w:pPr>
        <w:pStyle w:val="Heading1"/>
      </w:pPr>
      <w:r>
        <w:t>Risks</w:t>
      </w:r>
    </w:p>
    <w:p>
      <w:pPr>
        <w:pStyle w:val="ListBullet"/>
      </w:pPr>
      <w:r>
        <w:t>NE monsoon / cyclone disruption to Oct–Dec dispatches (as in Nov 2025)</w:t>
      </w:r>
    </w:p>
    <w:p>
      <w:pPr>
        <w:pStyle w:val="ListBullet"/>
      </w:pPr>
      <w:r>
        <w:t>Teak/rubberwood and steel input costs; MSME supplier payments must stay within 45 days</w:t>
      </w:r>
    </w:p>
    <w:p>
      <w:pPr>
        <w:pStyle w:val="ListBullet"/>
      </w:pPr>
      <w:r>
        <w:t>Cash-credit drawing power falls if debtor ageing slips past 90 days</w:t>
      </w:r>
    </w:p>
    <w:p>
      <w:pPr>
        <w:pStyle w:val="Heading1"/>
      </w:pPr>
      <w:r>
        <w:t>The ask</w:t>
      </w:r>
    </w:p>
    <w:p>
      <w:pPr>
        <w:pStyle w:val="ListBullet"/>
      </w:pPr>
      <w:r>
        <w:t>Approve an ad-hoc cash-credit enhancement of ₹37 lakh (or 30-day LC usance extension) with Indian Bank before week 5</w:t>
      </w:r>
    </w:p>
    <w:p>
      <w:pPr>
        <w:pStyle w:val="Heading1"/>
      </w:pPr>
      <w:r>
        <w:t>Caveats</w:t>
      </w:r>
    </w:p>
    <w:p>
      <w:pPr>
        <w:pStyle w:val="ListBullet"/>
      </w:pPr>
      <w:r>
        <w:t>FY2025-26 audit pending</w:t>
      </w:r>
    </w:p>
    <w:p>
      <w:pPr>
        <w:pStyle w:val="ListBullet"/>
      </w:pPr>
      <w:r>
        <w:t>cash is bank-flash, unfinanced</w:t>
      </w:r>
    </w:p>
    <w:p>
      <w:pPr>
        <w:pStyle w:val="ListBullet"/>
      </w:pPr>
      <w:r>
        <w:t>online COGS includes marketplace commission</w:t>
      </w:r>
    </w:p>
    <w:p>
      <w:pPr>
        <w:pStyle w:val="Heading1"/>
      </w:pPr>
      <w:r>
        <w:t>Monthly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Revenue (₹ L)</w:t>
            </w:r>
          </w:p>
        </w:tc>
        <w:tc>
          <w:tcPr>
            <w:tcW w:type="dxa" w:w="1728"/>
          </w:tcPr>
          <w:p>
            <w:r>
              <w:t>EBITDA (₹ L)</w:t>
            </w:r>
          </w:p>
        </w:tc>
        <w:tc>
          <w:tcPr>
            <w:tcW w:type="dxa" w:w="1728"/>
          </w:tcPr>
          <w:p>
            <w:r>
              <w:t>Net income (₹ L)</w:t>
            </w:r>
          </w:p>
        </w:tc>
        <w:tc>
          <w:tcPr>
            <w:tcW w:type="dxa" w:w="1728"/>
          </w:tcPr>
          <w:p>
            <w:r>
              <w:t>Ending cash (₹ L)</w:t>
            </w:r>
          </w:p>
        </w:tc>
      </w:tr>
      <w:tr>
        <w:tc>
          <w:tcPr>
            <w:tcW w:type="dxa" w:w="1728"/>
          </w:tcPr>
          <w:p>
            <w:r>
              <w:t>2026-04</w:t>
            </w:r>
          </w:p>
        </w:tc>
        <w:tc>
          <w:tcPr>
            <w:tcW w:type="dxa" w:w="1728"/>
          </w:tcPr>
          <w:p>
            <w:r>
              <w:t>303.25</w:t>
            </w:r>
          </w:p>
        </w:tc>
        <w:tc>
          <w:tcPr>
            <w:tcW w:type="dxa" w:w="1728"/>
          </w:tcPr>
          <w:p>
            <w:r>
              <w:t>56.49</w:t>
            </w:r>
          </w:p>
        </w:tc>
        <w:tc>
          <w:tcPr>
            <w:tcW w:type="dxa" w:w="1728"/>
          </w:tcPr>
          <w:p>
            <w:r>
              <w:t>32.06</w:t>
            </w:r>
          </w:p>
        </w:tc>
        <w:tc>
          <w:tcPr>
            <w:tcW w:type="dxa" w:w="1728"/>
          </w:tcPr>
          <w:p>
            <w:r>
              <w:t>140.06</w:t>
            </w:r>
          </w:p>
        </w:tc>
      </w:tr>
      <w:tr>
        <w:tc>
          <w:tcPr>
            <w:tcW w:type="dxa" w:w="1728"/>
          </w:tcPr>
          <w:p>
            <w:r>
              <w:t>2026-05</w:t>
            </w:r>
          </w:p>
        </w:tc>
        <w:tc>
          <w:tcPr>
            <w:tcW w:type="dxa" w:w="1728"/>
          </w:tcPr>
          <w:p>
            <w:r>
              <w:t>289.75</w:t>
            </w:r>
          </w:p>
        </w:tc>
        <w:tc>
          <w:tcPr>
            <w:tcW w:type="dxa" w:w="1728"/>
          </w:tcPr>
          <w:p>
            <w:r>
              <w:t>51.24</w:t>
            </w:r>
          </w:p>
        </w:tc>
        <w:tc>
          <w:tcPr>
            <w:tcW w:type="dxa" w:w="1728"/>
          </w:tcPr>
          <w:p>
            <w:r>
              <w:t>28.16</w:t>
            </w:r>
          </w:p>
        </w:tc>
        <w:tc>
          <w:tcPr>
            <w:tcW w:type="dxa" w:w="1728"/>
          </w:tcPr>
          <w:p>
            <w:r>
              <w:t>198.23</w:t>
            </w:r>
          </w:p>
        </w:tc>
      </w:tr>
      <w:tr>
        <w:tc>
          <w:tcPr>
            <w:tcW w:type="dxa" w:w="1728"/>
          </w:tcPr>
          <w:p>
            <w:r>
              <w:t>2026-06</w:t>
            </w:r>
          </w:p>
        </w:tc>
        <w:tc>
          <w:tcPr>
            <w:tcW w:type="dxa" w:w="1728"/>
          </w:tcPr>
          <w:p>
            <w:r>
              <w:t>264.78</w:t>
            </w:r>
          </w:p>
        </w:tc>
        <w:tc>
          <w:tcPr>
            <w:tcW w:type="dxa" w:w="1728"/>
          </w:tcPr>
          <w:p>
            <w:r>
              <w:t>42.52</w:t>
            </w:r>
          </w:p>
        </w:tc>
        <w:tc>
          <w:tcPr>
            <w:tcW w:type="dxa" w:w="1728"/>
          </w:tcPr>
          <w:p>
            <w:r>
              <w:t>21.67</w:t>
            </w:r>
          </w:p>
        </w:tc>
        <w:tc>
          <w:tcPr>
            <w:tcW w:type="dxa" w:w="1728"/>
          </w:tcPr>
          <w:p>
            <w:r>
              <w:t>278.28</w:t>
            </w:r>
          </w:p>
        </w:tc>
      </w:tr>
      <w:tr>
        <w:tc>
          <w:tcPr>
            <w:tcW w:type="dxa" w:w="1728"/>
          </w:tcPr>
          <w:p>
            <w:r>
              <w:t>2026-07</w:t>
            </w:r>
          </w:p>
        </w:tc>
        <w:tc>
          <w:tcPr>
            <w:tcW w:type="dxa" w:w="1728"/>
          </w:tcPr>
          <w:p>
            <w:r>
              <w:t>236.28</w:t>
            </w:r>
          </w:p>
        </w:tc>
        <w:tc>
          <w:tcPr>
            <w:tcW w:type="dxa" w:w="1728"/>
          </w:tcPr>
          <w:p>
            <w:r>
              <w:t>33.52</w:t>
            </w:r>
          </w:p>
        </w:tc>
        <w:tc>
          <w:tcPr>
            <w:tcW w:type="dxa" w:w="1728"/>
          </w:tcPr>
          <w:p>
            <w:r>
              <w:t>14.97</w:t>
            </w:r>
          </w:p>
        </w:tc>
        <w:tc>
          <w:tcPr>
            <w:tcW w:type="dxa" w:w="1728"/>
          </w:tcPr>
          <w:p>
            <w:r>
              <w:t>361.36</w:t>
            </w:r>
          </w:p>
        </w:tc>
      </w:tr>
      <w:tr>
        <w:tc>
          <w:tcPr>
            <w:tcW w:type="dxa" w:w="1728"/>
          </w:tcPr>
          <w:p>
            <w:r>
              <w:t>2026-08</w:t>
            </w:r>
          </w:p>
        </w:tc>
        <w:tc>
          <w:tcPr>
            <w:tcW w:type="dxa" w:w="1728"/>
          </w:tcPr>
          <w:p>
            <w:r>
              <w:t>268.62</w:t>
            </w:r>
          </w:p>
        </w:tc>
        <w:tc>
          <w:tcPr>
            <w:tcW w:type="dxa" w:w="1728"/>
          </w:tcPr>
          <w:p>
            <w:r>
              <w:t>44.64</w:t>
            </w:r>
          </w:p>
        </w:tc>
        <w:tc>
          <w:tcPr>
            <w:tcW w:type="dxa" w:w="1728"/>
          </w:tcPr>
          <w:p>
            <w:r>
              <w:t>23.32</w:t>
            </w:r>
          </w:p>
        </w:tc>
        <w:tc>
          <w:tcPr>
            <w:tcW w:type="dxa" w:w="1728"/>
          </w:tcPr>
          <w:p>
            <w:r>
              <w:t>304.24</w:t>
            </w:r>
          </w:p>
        </w:tc>
      </w:tr>
      <w:tr>
        <w:tc>
          <w:tcPr>
            <w:tcW w:type="dxa" w:w="1728"/>
          </w:tcPr>
          <w:p>
            <w:r>
              <w:t>2026-09</w:t>
            </w:r>
          </w:p>
        </w:tc>
        <w:tc>
          <w:tcPr>
            <w:tcW w:type="dxa" w:w="1728"/>
          </w:tcPr>
          <w:p>
            <w:r>
              <w:t>302.00</w:t>
            </w:r>
          </w:p>
        </w:tc>
        <w:tc>
          <w:tcPr>
            <w:tcW w:type="dxa" w:w="1728"/>
          </w:tcPr>
          <w:p>
            <w:r>
              <w:t>55.68</w:t>
            </w:r>
          </w:p>
        </w:tc>
        <w:tc>
          <w:tcPr>
            <w:tcW w:type="dxa" w:w="1728"/>
          </w:tcPr>
          <w:p>
            <w:r>
              <w:t>31.61</w:t>
            </w:r>
          </w:p>
        </w:tc>
        <w:tc>
          <w:tcPr>
            <w:tcW w:type="dxa" w:w="1728"/>
          </w:tcPr>
          <w:p>
            <w:r>
              <w:t>252.34</w:t>
            </w:r>
          </w:p>
        </w:tc>
      </w:tr>
      <w:tr>
        <w:tc>
          <w:tcPr>
            <w:tcW w:type="dxa" w:w="1728"/>
          </w:tcPr>
          <w:p>
            <w:r>
              <w:t>2026-10</w:t>
            </w:r>
          </w:p>
        </w:tc>
        <w:tc>
          <w:tcPr>
            <w:tcW w:type="dxa" w:w="1728"/>
          </w:tcPr>
          <w:p>
            <w:r>
              <w:t>379.89</w:t>
            </w:r>
          </w:p>
        </w:tc>
        <w:tc>
          <w:tcPr>
            <w:tcW w:type="dxa" w:w="1728"/>
          </w:tcPr>
          <w:p>
            <w:r>
              <w:t>81.85</w:t>
            </w:r>
          </w:p>
        </w:tc>
        <w:tc>
          <w:tcPr>
            <w:tcW w:type="dxa" w:w="1728"/>
          </w:tcPr>
          <w:p>
            <w:r>
              <w:t>51.23</w:t>
            </w:r>
          </w:p>
        </w:tc>
        <w:tc>
          <w:tcPr>
            <w:tcW w:type="dxa" w:w="1728"/>
          </w:tcPr>
          <w:p>
            <w:r>
              <w:t>111.91</w:t>
            </w:r>
          </w:p>
        </w:tc>
      </w:tr>
      <w:tr>
        <w:tc>
          <w:tcPr>
            <w:tcW w:type="dxa" w:w="1728"/>
          </w:tcPr>
          <w:p>
            <w:r>
              <w:t>2026-11</w:t>
            </w:r>
          </w:p>
        </w:tc>
        <w:tc>
          <w:tcPr>
            <w:tcW w:type="dxa" w:w="1728"/>
          </w:tcPr>
          <w:p>
            <w:r>
              <w:t>363.93</w:t>
            </w:r>
          </w:p>
        </w:tc>
        <w:tc>
          <w:tcPr>
            <w:tcW w:type="dxa" w:w="1728"/>
          </w:tcPr>
          <w:p>
            <w:r>
              <w:t>76.90</w:t>
            </w:r>
          </w:p>
        </w:tc>
        <w:tc>
          <w:tcPr>
            <w:tcW w:type="dxa" w:w="1728"/>
          </w:tcPr>
          <w:p>
            <w:r>
              <w:t>47.56</w:t>
            </w:r>
          </w:p>
        </w:tc>
        <w:tc>
          <w:tcPr>
            <w:tcW w:type="dxa" w:w="1728"/>
          </w:tcPr>
          <w:p>
            <w:r>
              <w:t>196.83</w:t>
            </w:r>
          </w:p>
        </w:tc>
      </w:tr>
      <w:tr>
        <w:tc>
          <w:tcPr>
            <w:tcW w:type="dxa" w:w="1728"/>
          </w:tcPr>
          <w:p>
            <w:r>
              <w:t>2026-12</w:t>
            </w:r>
          </w:p>
        </w:tc>
        <w:tc>
          <w:tcPr>
            <w:tcW w:type="dxa" w:w="1728"/>
          </w:tcPr>
          <w:p>
            <w:r>
              <w:t>249.16</w:t>
            </w:r>
          </w:p>
        </w:tc>
        <w:tc>
          <w:tcPr>
            <w:tcW w:type="dxa" w:w="1728"/>
          </w:tcPr>
          <w:p>
            <w:r>
              <w:t>38.74</w:t>
            </w:r>
          </w:p>
        </w:tc>
        <w:tc>
          <w:tcPr>
            <w:tcW w:type="dxa" w:w="1728"/>
          </w:tcPr>
          <w:p>
            <w:r>
              <w:t>19.03</w:t>
            </w:r>
          </w:p>
        </w:tc>
        <w:tc>
          <w:tcPr>
            <w:tcW w:type="dxa" w:w="1728"/>
          </w:tcPr>
          <w:p>
            <w:r>
              <w:t>493.84</w:t>
            </w:r>
          </w:p>
        </w:tc>
      </w:tr>
      <w:tr>
        <w:tc>
          <w:tcPr>
            <w:tcW w:type="dxa" w:w="1728"/>
          </w:tcPr>
          <w:p>
            <w:r>
              <w:t>2027-01</w:t>
            </w:r>
          </w:p>
        </w:tc>
        <w:tc>
          <w:tcPr>
            <w:tcW w:type="dxa" w:w="1728"/>
          </w:tcPr>
          <w:p>
            <w:r>
              <w:t>300.84</w:t>
            </w:r>
          </w:p>
        </w:tc>
        <w:tc>
          <w:tcPr>
            <w:tcW w:type="dxa" w:w="1728"/>
          </w:tcPr>
          <w:p>
            <w:r>
              <w:t>56.65</w:t>
            </w:r>
          </w:p>
        </w:tc>
        <w:tc>
          <w:tcPr>
            <w:tcW w:type="dxa" w:w="1728"/>
          </w:tcPr>
          <w:p>
            <w:r>
              <w:t>32.47</w:t>
            </w:r>
          </w:p>
        </w:tc>
        <w:tc>
          <w:tcPr>
            <w:tcW w:type="dxa" w:w="1728"/>
          </w:tcPr>
          <w:p>
            <w:r>
              <w:t>399.15</w:t>
            </w:r>
          </w:p>
        </w:tc>
      </w:tr>
      <w:tr>
        <w:tc>
          <w:tcPr>
            <w:tcW w:type="dxa" w:w="1728"/>
          </w:tcPr>
          <w:p>
            <w:r>
              <w:t>2027-02</w:t>
            </w:r>
          </w:p>
        </w:tc>
        <w:tc>
          <w:tcPr>
            <w:tcW w:type="dxa" w:w="1728"/>
          </w:tcPr>
          <w:p>
            <w:r>
              <w:t>246.24</w:t>
            </w:r>
          </w:p>
        </w:tc>
        <w:tc>
          <w:tcPr>
            <w:tcW w:type="dxa" w:w="1728"/>
          </w:tcPr>
          <w:p>
            <w:r>
              <w:t>37.97</w:t>
            </w:r>
          </w:p>
        </w:tc>
        <w:tc>
          <w:tcPr>
            <w:tcW w:type="dxa" w:w="1728"/>
          </w:tcPr>
          <w:p>
            <w:r>
              <w:t>18.52</w:t>
            </w:r>
          </w:p>
        </w:tc>
        <w:tc>
          <w:tcPr>
            <w:tcW w:type="dxa" w:w="1728"/>
          </w:tcPr>
          <w:p>
            <w:r>
              <w:t>548.18</w:t>
            </w:r>
          </w:p>
        </w:tc>
      </w:tr>
      <w:tr>
        <w:tc>
          <w:tcPr>
            <w:tcW w:type="dxa" w:w="1728"/>
          </w:tcPr>
          <w:p>
            <w:r>
              <w:t>2027-03</w:t>
            </w:r>
          </w:p>
        </w:tc>
        <w:tc>
          <w:tcPr>
            <w:tcW w:type="dxa" w:w="1728"/>
          </w:tcPr>
          <w:p>
            <w:r>
              <w:t>295.25</w:t>
            </w:r>
          </w:p>
        </w:tc>
        <w:tc>
          <w:tcPr>
            <w:tcW w:type="dxa" w:w="1728"/>
          </w:tcPr>
          <w:p>
            <w:r>
              <w:t>52.79</w:t>
            </w:r>
          </w:p>
        </w:tc>
        <w:tc>
          <w:tcPr>
            <w:tcW w:type="dxa" w:w="1728"/>
          </w:tcPr>
          <w:p>
            <w:r>
              <w:t>29.64</w:t>
            </w:r>
          </w:p>
        </w:tc>
        <w:tc>
          <w:tcPr>
            <w:tcW w:type="dxa" w:w="1728"/>
          </w:tcPr>
          <w:p>
            <w:r>
              <w:t>454.46</w:t>
            </w:r>
          </w:p>
        </w:tc>
      </w:tr>
    </w:tbl>
    <w:p>
      <w:r>
        <w:t>Resolution sought: ____________________   Approved by: ____________  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