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411"/>
      </w:tblGrid>
      <w:tr>
        <w:trPr>
          <w:trHeight w:val="2268" w:hRule="atLeast"/>
        </w:trPr>
        <w:tc>
          <w:tcPr>
            <w:tcW w:type="dxa" w:w="9411"/>
            <w:shd w:val="clear" w:color="auto" w:fill="1F4E45"/>
            <w:tcMar>
              <w:top w:w="396" w:type="dxa"/>
              <w:bottom w:w="396" w:type="dxa"/>
              <w:start w:w="396" w:type="dxa"/>
              <w:end w:w="396" w:type="dxa"/>
            </w:tcMar>
          </w:tcPr>
          <w:p>
            <w:r>
              <w:rPr>
                <w:rFonts w:ascii="Calibri" w:hAnsi="Calibri" w:eastAsia="Microsoft JhengHei"/>
                <w:b/>
                <w:i w:val="0"/>
                <w:color w:val="FFFFFF"/>
                <w:sz w:val="48"/>
              </w:rPr>
              <w:t>SMART WASTE SORTING BIN</w:t>
            </w:r>
          </w:p>
          <w:p>
            <w:r>
              <w:rPr>
                <w:rFonts w:ascii="Calibri" w:hAnsi="Calibri" w:eastAsia="Microsoft JhengHei"/>
                <w:b/>
                <w:i w:val="0"/>
                <w:color w:val="D8E8B1"/>
                <w:sz w:val="24"/>
              </w:rPr>
              <w:t>HK$1,000 LEAN PROTOTYPE  ·  VERSION 2.0</w:t>
            </w:r>
          </w:p>
        </w:tc>
      </w:tr>
    </w:tbl>
    <w:p>
      <w:pPr>
        <w:spacing w:before="160"/>
      </w:pPr>
      <w:r>
        <w:rPr>
          <w:rFonts w:ascii="Calibri" w:hAnsi="Calibri" w:eastAsia="Microsoft JhengHei"/>
          <w:b/>
          <w:i w:val="0"/>
          <w:color w:val="1F4E45"/>
          <w:sz w:val="32"/>
        </w:rPr>
        <w:t>Standalone edge AI: ESP32-S3-CAM + MobileNetV2 + sensor fusion</w:t>
      </w:r>
    </w:p>
    <w:p>
      <w:r>
        <w:rPr>
          <w:rFonts w:ascii="Calibri" w:hAnsi="Calibri" w:eastAsia="Microsoft JhengHei"/>
          <w:b w:val="0"/>
          <w:i w:val="0"/>
          <w:color w:val="5A6778"/>
          <w:sz w:val="20"/>
        </w:rPr>
        <w:t>420 × 420 × 900 mm  ·  4 × 8.7 L  ·  BOM HK$866  ·  total ≈ HK$996</w:t>
      </w:r>
    </w:p>
    <w:p>
      <w:pPr>
        <w:spacing w:after="40"/>
        <w:jc w:val="center"/>
      </w:pPr>
      <w:r>
        <w:drawing>
          <wp:inline xmlns:a="http://schemas.openxmlformats.org/drawingml/2006/main" xmlns:pic="http://schemas.openxmlformats.org/drawingml/2006/picture">
            <wp:extent cx="5832000" cy="4068290"/>
            <wp:docPr id="1" name="Picture 1"/>
            <wp:cNvGraphicFramePr>
              <a:graphicFrameLocks noChangeAspect="1"/>
            </wp:cNvGraphicFramePr>
            <a:graphic>
              <a:graphicData uri="http://schemas.openxmlformats.org/drawingml/2006/picture">
                <pic:pic>
                  <pic:nvPicPr>
                    <pic:cNvPr id="0" name="00_overview.png"/>
                    <pic:cNvPicPr/>
                  </pic:nvPicPr>
                  <pic:blipFill>
                    <a:blip r:embed="rId11"/>
                    <a:stretch>
                      <a:fillRect/>
                    </a:stretch>
                  </pic:blipFill>
                  <pic:spPr>
                    <a:xfrm>
                      <a:off x="0" y="0"/>
                      <a:ext cx="5832000" cy="4068290"/>
                    </a:xfrm>
                    <a:prstGeom prst="rect"/>
                  </pic:spPr>
                </pic:pic>
              </a:graphicData>
            </a:graphic>
          </wp:inline>
        </w:drawing>
      </w:r>
    </w:p>
    <w:p>
      <w:pPr>
        <w:spacing w:before="80"/>
      </w:pPr>
      <w:r>
        <w:rPr>
          <w:rFonts w:ascii="Calibri" w:hAnsi="Calibri" w:eastAsia="Microsoft JhengHei"/>
          <w:b w:val="0"/>
          <w:i/>
          <w:color w:val="B03A3A"/>
          <w:sz w:val="17"/>
        </w:rPr>
        <w:t>Standalone: no laptop, no cloud, no agent. MobileNetV2 runs on the ESP32-S3-CAM; WiFi AP is only for optional phone monitoring.</w:t>
      </w:r>
    </w:p>
    <w:p>
      <w:r>
        <w:br w:type="page"/>
      </w:r>
    </w:p>
    <w:p>
      <w:pPr>
        <w:pStyle w:val="Heading1"/>
        <w:keepNext/>
        <w:pageBreakBefore/>
        <w:pBdr>
          <w:bottom w:val="single" w:sz="8" w:space="2" w:color="1F4E45"/>
        </w:pBdr>
      </w:pPr>
      <w:r>
        <w:rPr>
          <w:rFonts w:ascii="Calibri" w:hAnsi="Calibri" w:eastAsia="Microsoft JhengHei"/>
          <w:b/>
          <w:i w:val="0"/>
          <w:color w:val="1F4E45"/>
          <w:sz w:val="40"/>
        </w:rPr>
        <w:t>1. Why this version is feasible</w:t>
      </w:r>
    </w:p>
    <w:p>
      <w:pPr>
        <w:spacing w:after="120"/>
      </w:pPr>
      <w:r>
        <w:rPr>
          <w:rFonts w:ascii="Calibri" w:hAnsi="Calibri" w:eastAsia="Microsoft JhengHei"/>
          <w:b w:val="0"/>
          <w:i w:val="0"/>
          <w:color w:val="1F2937"/>
          <w:sz w:val="21"/>
        </w:rPr>
        <w:t>The previous HK$1,000 sketch used a 28BYJ-48 stepper and a tilting load-cell tray. Both are marginal: the 28BYJ-48 has only ~0.033 N·m, and a tilting tray side-loads the load cell. This version fixes both.</w:t>
      </w:r>
    </w:p>
    <w:p>
      <w:pPr>
        <w:pStyle w:val="ListBullet"/>
        <w:spacing w:after="60"/>
        <w:ind w:left="340"/>
      </w:pPr>
      <w:r>
        <w:rPr>
          <w:rFonts w:ascii="Calibri" w:hAnsi="Calibri" w:eastAsia="Microsoft JhengHei"/>
          <w:b w:val="0"/>
          <w:i w:val="0"/>
          <w:color w:val="1F2937"/>
          <w:sz w:val="21"/>
        </w:rPr>
        <w:t>NEMA 17 (0.45 N·m) with 3:1 GT2 belt gives 1.35 N·m at the spout; required ≈ 0.34 N·m. Safety factor ≈ 4.</w:t>
      </w:r>
    </w:p>
    <w:p>
      <w:pPr>
        <w:pStyle w:val="ListBullet"/>
        <w:spacing w:after="60"/>
        <w:ind w:left="340"/>
      </w:pPr>
      <w:r>
        <w:rPr>
          <w:rFonts w:ascii="Calibri" w:hAnsi="Calibri" w:eastAsia="Microsoft JhengHei"/>
          <w:b w:val="0"/>
          <w:i w:val="0"/>
          <w:color w:val="1F2937"/>
          <w:sz w:val="21"/>
        </w:rPr>
        <w:t>Fixed weigh platform + small trapdoor: the 5 kg load cell never carries the servo or door side-load. The MG996R only pulls the door; a spring closes it.</w:t>
      </w:r>
    </w:p>
    <w:p>
      <w:pPr>
        <w:pStyle w:val="ListBullet"/>
        <w:spacing w:after="60"/>
        <w:ind w:left="340"/>
      </w:pPr>
      <w:r>
        <w:rPr>
          <w:rFonts w:ascii="Calibri" w:hAnsi="Calibri" w:eastAsia="Microsoft JhengHei"/>
          <w:b w:val="0"/>
          <w:i w:val="0"/>
          <w:color w:val="1F2937"/>
          <w:sz w:val="21"/>
        </w:rPr>
        <w:t>Top clearance is 225 mm (tray 635 mm, lid underside 860 mm), enough for an upright 500 mL bottle (~200 mm).</w:t>
      </w:r>
    </w:p>
    <w:p>
      <w:pPr>
        <w:pStyle w:val="ListBullet"/>
        <w:spacing w:after="60"/>
        <w:ind w:left="340"/>
      </w:pPr>
      <w:r>
        <w:rPr>
          <w:rFonts w:ascii="Calibri" w:hAnsi="Calibri" w:eastAsia="Microsoft JhengHei"/>
          <w:b w:val="0"/>
          <w:i w:val="0"/>
          <w:color w:val="1F2937"/>
          <w:sz w:val="21"/>
        </w:rPr>
        <w:t>Four standard 170 × 170 × 300 mm bins, no corner notches; spout rotates above the bins.</w:t>
      </w:r>
    </w:p>
    <w:p>
      <w:pPr>
        <w:pStyle w:val="ListBullet"/>
        <w:spacing w:after="60"/>
        <w:ind w:left="340"/>
      </w:pPr>
      <w:r>
        <w:rPr>
          <w:rFonts w:ascii="Calibri" w:hAnsi="Calibri" w:eastAsia="Microsoft JhengHei"/>
          <w:b w:val="0"/>
          <w:i w:val="0"/>
          <w:color w:val="1F2937"/>
          <w:sz w:val="21"/>
        </w:rPr>
        <w:t>12 V 3 A adapter + 5 V buck: no Li-ion pack, no charging risk, no BMS cost.</w:t>
      </w:r>
    </w:p>
    <w:p>
      <w:pPr>
        <w:spacing w:after="120"/>
      </w:pPr>
      <w:r>
        <w:rPr>
          <w:rFonts w:ascii="Calibri" w:hAnsi="Calibri" w:eastAsia="Microsoft JhengHei"/>
          <w:b w:val="0"/>
          <w:i w:val="0"/>
          <w:color w:val="1F2937"/>
          <w:sz w:val="21"/>
        </w:rPr>
        <w:t>Edge AI: ESP32-S3-CAM (8 MB PSRAM, 16 MB flash) runs MobileNetV2 0.35/0.5 at 96–128 px, INT8. MobileNetV2 1.0 at 224 px is too slow/large for this board; use transfer learning on the 0.35/0.5 backbone and fuse camera + weight + moisture + IR. No laptop, cloud or agent is used at run time.</w:t>
      </w:r>
    </w:p>
    <w:p>
      <w:pPr>
        <w:pStyle w:val="Heading1"/>
        <w:keepNext/>
        <w:pageBreakBefore/>
        <w:pBdr>
          <w:bottom w:val="single" w:sz="8" w:space="2" w:color="1F4E45"/>
        </w:pBdr>
      </w:pPr>
      <w:r>
        <w:rPr>
          <w:rFonts w:ascii="Calibri" w:hAnsi="Calibri" w:eastAsia="Microsoft JhengHei"/>
          <w:b/>
          <w:i w:val="0"/>
          <w:color w:val="1F4E45"/>
          <w:sz w:val="40"/>
        </w:rPr>
        <w:t>2. Dimensions and capacity</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4706"/>
        <w:gridCol w:w="4706"/>
      </w:tblGrid>
      <w:tr>
        <w:trPr>
          <w:cantSplit w:val="true"/>
          <w:tblHeader w:val="true"/>
          <w:tblHeader w:val="true"/>
        </w:trPr>
        <w:tc>
          <w:tcPr>
            <w:tcW w:type="dxa" w:w="2494"/>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7"/>
              </w:rPr>
              <w:t>Item</w:t>
            </w:r>
          </w:p>
        </w:tc>
        <w:tc>
          <w:tcPr>
            <w:tcW w:type="dxa" w:w="6917"/>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7"/>
              </w:rPr>
              <w:t>Value</w:t>
            </w:r>
          </w:p>
        </w:tc>
      </w:tr>
      <w:tr>
        <w:trPr>
          <w:cantSplit w:val="true"/>
        </w:trPr>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7"/>
              </w:rPr>
              <w:t>Overall</w:t>
            </w:r>
          </w:p>
        </w:tc>
        <w:tc>
          <w:tcPr>
            <w:tcW w:type="dxa" w:w="6917"/>
            <w:tcMar>
              <w:top w:w="28" w:type="dxa"/>
              <w:bottom w:w="28" w:type="dxa"/>
              <w:start w:w="56" w:type="dxa"/>
              <w:end w:w="56" w:type="dxa"/>
            </w:tcMar>
          </w:tcPr>
          <w:p>
            <w:pPr>
              <w:spacing w:after="0" w:line="240" w:lineRule="auto"/>
            </w:pPr>
            <w:r>
              <w:rPr>
                <w:rFonts w:ascii="Calibri" w:hAnsi="Calibri" w:eastAsia="Microsoft JhengHei"/>
                <w:b w:val="0"/>
                <w:i w:val="0"/>
                <w:color w:val="1F2937"/>
                <w:sz w:val="17"/>
              </w:rPr>
              <w:t>420 W × 420 D × 900 H mm</w:t>
            </w:r>
          </w:p>
        </w:tc>
      </w:tr>
      <w:tr>
        <w:trPr>
          <w:cantSplit w:val="true"/>
        </w:trPr>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7"/>
              </w:rPr>
              <w:t>Bins</w:t>
            </w:r>
          </w:p>
        </w:tc>
        <w:tc>
          <w:tcPr>
            <w:tcW w:type="dxa" w:w="691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7"/>
              </w:rPr>
              <w:t>4 × 170 × 170 × 300 mm; ≈ 8.7 L each</w:t>
            </w:r>
          </w:p>
        </w:tc>
      </w:tr>
      <w:tr>
        <w:trPr>
          <w:cantSplit w:val="true"/>
        </w:trPr>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7"/>
              </w:rPr>
              <w:t>Total capacity</w:t>
            </w:r>
          </w:p>
        </w:tc>
        <w:tc>
          <w:tcPr>
            <w:tcW w:type="dxa" w:w="6917"/>
            <w:tcMar>
              <w:top w:w="28" w:type="dxa"/>
              <w:bottom w:w="28" w:type="dxa"/>
              <w:start w:w="56" w:type="dxa"/>
              <w:end w:w="56" w:type="dxa"/>
            </w:tcMar>
          </w:tcPr>
          <w:p>
            <w:pPr>
              <w:spacing w:after="0" w:line="240" w:lineRule="auto"/>
            </w:pPr>
            <w:r>
              <w:rPr>
                <w:rFonts w:ascii="Calibri" w:hAnsi="Calibri" w:eastAsia="Microsoft JhengHei"/>
                <w:b w:val="0"/>
                <w:i w:val="0"/>
                <w:color w:val="1F2937"/>
                <w:sz w:val="17"/>
              </w:rPr>
              <w:t>≈ 34.7 L</w:t>
            </w:r>
          </w:p>
        </w:tc>
      </w:tr>
      <w:tr>
        <w:trPr>
          <w:cantSplit w:val="true"/>
        </w:trPr>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7"/>
              </w:rPr>
              <w:t>Weigh platform</w:t>
            </w:r>
          </w:p>
        </w:tc>
        <w:tc>
          <w:tcPr>
            <w:tcW w:type="dxa" w:w="691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7"/>
              </w:rPr>
              <w:t>220 × 180 mm fixed frame; 180 × 140 mm trapdoor</w:t>
            </w:r>
          </w:p>
        </w:tc>
      </w:tr>
      <w:tr>
        <w:trPr>
          <w:cantSplit w:val="true"/>
        </w:trPr>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7"/>
              </w:rPr>
              <w:t>Funnel / spout</w:t>
            </w:r>
          </w:p>
        </w:tc>
        <w:tc>
          <w:tcPr>
            <w:tcW w:type="dxa" w:w="6917"/>
            <w:tcMar>
              <w:top w:w="28" w:type="dxa"/>
              <w:bottom w:w="28" w:type="dxa"/>
              <w:start w:w="56" w:type="dxa"/>
              <w:end w:w="56" w:type="dxa"/>
            </w:tcMar>
          </w:tcPr>
          <w:p>
            <w:pPr>
              <w:spacing w:after="0" w:line="240" w:lineRule="auto"/>
            </w:pPr>
            <w:r>
              <w:rPr>
                <w:rFonts w:ascii="Calibri" w:hAnsi="Calibri" w:eastAsia="Microsoft JhengHei"/>
                <w:b w:val="0"/>
                <w:i w:val="0"/>
                <w:color w:val="1F2937"/>
                <w:sz w:val="17"/>
              </w:rPr>
              <w:t>220 × 200 → 75 mm; 75 mm elbow, outlet radius 100 mm</w:t>
            </w:r>
          </w:p>
        </w:tc>
      </w:tr>
      <w:tr>
        <w:trPr>
          <w:cantSplit w:val="true"/>
        </w:trPr>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7"/>
              </w:rPr>
              <w:t>Max item</w:t>
            </w:r>
          </w:p>
        </w:tc>
        <w:tc>
          <w:tcPr>
            <w:tcW w:type="dxa" w:w="691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7"/>
              </w:rPr>
              <w:t>≈ 500 mL bottle / 330 mL can; ≤ 0.5 kg</w:t>
            </w:r>
          </w:p>
        </w:tc>
      </w:tr>
      <w:tr>
        <w:trPr>
          <w:cantSplit w:val="true"/>
        </w:trPr>
        <w:tc>
          <w:tcPr>
            <w:tcW w:type="dxa" w:w="2494"/>
            <w:tcMar>
              <w:top w:w="28" w:type="dxa"/>
              <w:bottom w:w="28" w:type="dxa"/>
              <w:start w:w="56" w:type="dxa"/>
              <w:end w:w="56" w:type="dxa"/>
            </w:tcMar>
          </w:tcPr>
          <w:p>
            <w:pPr>
              <w:spacing w:after="0" w:line="240" w:lineRule="auto"/>
            </w:pPr>
            <w:r>
              <w:rPr>
                <w:rFonts w:ascii="Calibri" w:hAnsi="Calibri" w:eastAsia="Microsoft JhengHei"/>
                <w:b w:val="0"/>
                <w:i w:val="0"/>
                <w:color w:val="1F2937"/>
                <w:sz w:val="17"/>
              </w:rPr>
              <w:t>Cycle time</w:t>
            </w:r>
          </w:p>
        </w:tc>
        <w:tc>
          <w:tcPr>
            <w:tcW w:type="dxa" w:w="6917"/>
            <w:tcMar>
              <w:top w:w="28" w:type="dxa"/>
              <w:bottom w:w="28" w:type="dxa"/>
              <w:start w:w="56" w:type="dxa"/>
              <w:end w:w="56" w:type="dxa"/>
            </w:tcMar>
          </w:tcPr>
          <w:p>
            <w:pPr>
              <w:spacing w:after="0" w:line="240" w:lineRule="auto"/>
            </w:pPr>
            <w:r>
              <w:rPr>
                <w:rFonts w:ascii="Calibri" w:hAnsi="Calibri" w:eastAsia="Microsoft JhengHei"/>
                <w:b w:val="0"/>
                <w:i w:val="0"/>
                <w:color w:val="1F2937"/>
                <w:sz w:val="17"/>
              </w:rPr>
              <w:t>≈ 6–10 s</w:t>
            </w:r>
          </w:p>
        </w:tc>
      </w:tr>
      <w:tr>
        <w:trPr>
          <w:cantSplit w:val="true"/>
        </w:trPr>
        <w:tc>
          <w:tcPr>
            <w:tcW w:type="dxa" w:w="2494"/>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7"/>
              </w:rPr>
              <w:t>Target accuracy</w:t>
            </w:r>
          </w:p>
        </w:tc>
        <w:tc>
          <w:tcPr>
            <w:tcW w:type="dxa" w:w="6917"/>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7"/>
              </w:rPr>
              <w:t>≥ 80–85% on a 50-item local dataset</w:t>
            </w:r>
          </w:p>
        </w:tc>
      </w:tr>
    </w:tbl>
    <w:p>
      <w:pPr>
        <w:spacing w:after="40" w:before="0" w:line="240" w:lineRule="auto"/>
      </w:pPr>
    </w:p>
    <w:p>
      <w:pPr>
        <w:pStyle w:val="Heading1"/>
        <w:keepNext/>
        <w:pageBreakBefore/>
        <w:pBdr>
          <w:bottom w:val="single" w:sz="8" w:space="2" w:color="1F4E45"/>
        </w:pBdr>
      </w:pPr>
      <w:r>
        <w:rPr>
          <w:rFonts w:ascii="Calibri" w:hAnsi="Calibri" w:eastAsia="Microsoft JhengHei"/>
          <w:b/>
          <w:i w:val="0"/>
          <w:color w:val="1F4E45"/>
          <w:sz w:val="40"/>
        </w:rPr>
        <w:t>3. Internal structure</w:t>
      </w:r>
    </w:p>
    <w:p>
      <w:pPr>
        <w:keepNext/>
        <w:spacing w:before="40" w:after="40"/>
        <w:jc w:val="center"/>
      </w:pPr>
      <w:r>
        <w:drawing>
          <wp:inline xmlns:a="http://schemas.openxmlformats.org/drawingml/2006/main" xmlns:pic="http://schemas.openxmlformats.org/drawingml/2006/picture">
            <wp:extent cx="5976000" cy="4468037"/>
            <wp:docPr id="2" name="Picture 2"/>
            <wp:cNvGraphicFramePr>
              <a:graphicFrameLocks noChangeAspect="1"/>
            </wp:cNvGraphicFramePr>
            <a:graphic>
              <a:graphicData uri="http://schemas.openxmlformats.org/drawingml/2006/picture">
                <pic:pic>
                  <pic:nvPicPr>
                    <pic:cNvPr id="0" name="07_internal_labeled.png"/>
                    <pic:cNvPicPr/>
                  </pic:nvPicPr>
                  <pic:blipFill>
                    <a:blip r:embed="rId12"/>
                    <a:stretch>
                      <a:fillRect/>
                    </a:stretch>
                  </pic:blipFill>
                  <pic:spPr>
                    <a:xfrm>
                      <a:off x="0" y="0"/>
                      <a:ext cx="5976000" cy="4468037"/>
                    </a:xfrm>
                    <a:prstGeom prst="rect"/>
                  </pic:spPr>
                </pic:pic>
              </a:graphicData>
            </a:graphic>
          </wp:inline>
        </w:drawing>
      </w:r>
    </w:p>
    <w:p>
      <w:pPr>
        <w:spacing w:after="160"/>
        <w:jc w:val="center"/>
      </w:pPr>
      <w:r>
        <w:rPr>
          <w:rFonts w:ascii="Calibri" w:hAnsi="Calibri" w:eastAsia="Microsoft JhengHei"/>
          <w:b w:val="0"/>
          <w:i/>
          <w:color w:val="5A6778"/>
          <w:sz w:val="16"/>
        </w:rPr>
        <w:t>Figure 1. Internal structure: fixed platform, trapdoor, load cell, servo, funnel, NEMA 17 spout drive, bins, IR sensors and MCU bay.</w:t>
      </w:r>
    </w:p>
    <w:p>
      <w:pPr>
        <w:spacing w:after="120"/>
      </w:pPr>
      <w:r>
        <w:rPr>
          <w:rFonts w:ascii="Calibri" w:hAnsi="Calibri" w:eastAsia="Microsoft JhengHei"/>
          <w:b w:val="0"/>
          <w:i w:val="0"/>
          <w:color w:val="1F2937"/>
          <w:sz w:val="21"/>
        </w:rPr>
        <w:t>The load path is deliberate: item → trapdoor → fixed platform → single 5 kg load cell → mid-frame. The servo and hinge are mounted on the platform frame, not on the load cell. When the trapdoor opens, the item falls through the funnel and the rotating spout into the selected bin. The spring closes the door when power is removed.</w:t>
      </w:r>
    </w:p>
    <w:tbl>
      <w:tblPr>
        <w:tblW w:type="auto" w:w="0"/>
        <w:jc w:val="center"/>
        <w:tblLayout w:type="fixed"/>
        <w:tblLook w:firstColumn="1" w:firstRow="1" w:lastColumn="0" w:lastRow="0" w:noHBand="0" w:noVBand="1" w:val="04A0"/>
      </w:tblPr>
      <w:tblGrid>
        <w:gridCol w:w="9412"/>
      </w:tblGrid>
      <w:tr>
        <w:tc>
          <w:tcPr>
            <w:tcW w:type="dxa" w:w="9411"/>
            <w:shd w:val="clear" w:color="auto" w:fill="F0F8F1"/>
            <w:tcMar>
              <w:top w:w="124" w:type="dxa"/>
              <w:bottom w:w="124" w:type="dxa"/>
              <w:start w:w="170" w:type="dxa"/>
              <w:end w:w="170" w:type="dxa"/>
            </w:tcMar>
            <w:tcBorders>
              <w:left w:val="single" w:sz="18" w:color="1F4E45"/>
            </w:tcBorders>
          </w:tcPr>
          <w:p>
            <w:pPr>
              <w:spacing w:after="40"/>
            </w:pPr>
            <w:r>
              <w:rPr>
                <w:rFonts w:ascii="Calibri" w:hAnsi="Calibri" w:eastAsia="Microsoft JhengHei"/>
                <w:b/>
                <w:i w:val="0"/>
                <w:color w:val="1F4E45"/>
                <w:sz w:val="19"/>
              </w:rPr>
              <w:t>Why the trapdoor matters</w:t>
            </w:r>
          </w:p>
          <w:p>
            <w:pPr>
              <w:spacing w:after="0"/>
            </w:pPr>
            <w:r>
              <w:rPr>
                <w:rFonts w:ascii="Calibri" w:hAnsi="Calibri" w:eastAsia="Microsoft JhengHei"/>
                <w:b w:val="0"/>
                <w:i w:val="0"/>
                <w:color w:val="1F2937"/>
                <w:sz w:val="18"/>
              </w:rPr>
              <w:t>A tilting tray changes the load-cell geometry and adds side-load. The fixed platform keeps weighing repeatable; the trapdoor only moves after the weight is recorded. This is the main mechanical fix for feasibility.</w:t>
            </w:r>
          </w:p>
        </w:tc>
      </w:tr>
    </w:tbl>
    <w:p>
      <w:pPr>
        <w:spacing w:after="0" w:before="0"/>
      </w:pPr>
    </w:p>
    <w:p>
      <w:pPr>
        <w:pStyle w:val="Heading1"/>
        <w:keepNext/>
        <w:pageBreakBefore/>
        <w:pBdr>
          <w:bottom w:val="single" w:sz="8" w:space="2" w:color="1F4E45"/>
        </w:pBdr>
      </w:pPr>
      <w:r>
        <w:rPr>
          <w:rFonts w:ascii="Calibri" w:hAnsi="Calibri" w:eastAsia="Microsoft JhengHei"/>
          <w:b/>
          <w:i w:val="0"/>
          <w:color w:val="1F4E45"/>
          <w:sz w:val="40"/>
        </w:rPr>
        <w:t>4. Sensors and MCU locations</w:t>
      </w:r>
    </w:p>
    <w:p>
      <w:pPr>
        <w:keepNext/>
        <w:spacing w:before="40" w:after="40"/>
        <w:jc w:val="center"/>
      </w:pPr>
      <w:r>
        <w:drawing>
          <wp:inline xmlns:a="http://schemas.openxmlformats.org/drawingml/2006/main" xmlns:pic="http://schemas.openxmlformats.org/drawingml/2006/picture">
            <wp:extent cx="5976000" cy="2945915"/>
            <wp:docPr id="3" name="Picture 3"/>
            <wp:cNvGraphicFramePr>
              <a:graphicFrameLocks noChangeAspect="1"/>
            </wp:cNvGraphicFramePr>
            <a:graphic>
              <a:graphicData uri="http://schemas.openxmlformats.org/drawingml/2006/picture">
                <pic:pic>
                  <pic:nvPicPr>
                    <pic:cNvPr id="0" name="08_electronics_labeled.png"/>
                    <pic:cNvPicPr/>
                  </pic:nvPicPr>
                  <pic:blipFill>
                    <a:blip r:embed="rId13"/>
                    <a:stretch>
                      <a:fillRect/>
                    </a:stretch>
                  </pic:blipFill>
                  <pic:spPr>
                    <a:xfrm>
                      <a:off x="0" y="0"/>
                      <a:ext cx="5976000" cy="2945915"/>
                    </a:xfrm>
                    <a:prstGeom prst="rect"/>
                  </pic:spPr>
                </pic:pic>
              </a:graphicData>
            </a:graphic>
          </wp:inline>
        </w:drawing>
      </w:r>
    </w:p>
    <w:p>
      <w:pPr>
        <w:spacing w:after="160"/>
        <w:jc w:val="center"/>
      </w:pPr>
      <w:r>
        <w:rPr>
          <w:rFonts w:ascii="Calibri" w:hAnsi="Calibri" w:eastAsia="Microsoft JhengHei"/>
          <w:b w:val="0"/>
          <w:i/>
          <w:color w:val="5A6778"/>
          <w:sz w:val="16"/>
        </w:rPr>
        <w:t>Figure 2. Electronics bay: ESP32, HX711, A4988, USB link and wiring.</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3137"/>
        <w:gridCol w:w="3137"/>
        <w:gridCol w:w="3137"/>
      </w:tblGrid>
      <w:tr>
        <w:trPr>
          <w:cantSplit w:val="true"/>
          <w:tblHeader w:val="true"/>
          <w:tblHeader w:val="true"/>
          <w:tblHeader w:val="true"/>
        </w:trPr>
        <w:tc>
          <w:tcPr>
            <w:tcW w:type="dxa" w:w="2268"/>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Device</w:t>
            </w:r>
          </w:p>
        </w:tc>
        <w:tc>
          <w:tcPr>
            <w:tcW w:type="dxa" w:w="3969"/>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Location</w:t>
            </w:r>
          </w:p>
        </w:tc>
        <w:tc>
          <w:tcPr>
            <w:tcW w:type="dxa" w:w="3175"/>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Interface</w:t>
            </w:r>
          </w:p>
        </w:tc>
      </w:tr>
      <w:tr>
        <w:trPr>
          <w:cantSplit w:val="true"/>
        </w:trPr>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ESP32-S3-CAM</w:t>
            </w:r>
          </w:p>
        </w:tc>
        <w:tc>
          <w:tcPr>
            <w:tcW w:type="dxa" w:w="3969"/>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Lid underside, looking down</w:t>
            </w:r>
          </w:p>
        </w:tc>
        <w:tc>
          <w:tcPr>
            <w:tcW w:type="dxa" w:w="3175"/>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On-device inference</w:t>
            </w:r>
          </w:p>
        </w:tc>
      </w:tr>
      <w:tr>
        <w:trPr>
          <w:cantSplit w:val="true"/>
        </w:trPr>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IR safety beam</w:t>
            </w:r>
          </w:p>
        </w:tc>
        <w:tc>
          <w:tcPr>
            <w:tcW w:type="dxa" w:w="3969"/>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Hopper mouth</w:t>
            </w:r>
          </w:p>
        </w:tc>
        <w:tc>
          <w:tcPr>
            <w:tcW w:type="dxa" w:w="3175"/>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GPIO</w:t>
            </w:r>
          </w:p>
        </w:tc>
      </w:tr>
      <w:tr>
        <w:trPr>
          <w:cantSplit w:val="true"/>
        </w:trPr>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5 kg load cell</w:t>
            </w:r>
          </w:p>
        </w:tc>
        <w:tc>
          <w:tcPr>
            <w:tcW w:type="dxa" w:w="3969"/>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Under fixed platform</w:t>
            </w:r>
          </w:p>
        </w:tc>
        <w:tc>
          <w:tcPr>
            <w:tcW w:type="dxa" w:w="3175"/>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HX711</w:t>
            </w:r>
          </w:p>
        </w:tc>
      </w:tr>
      <w:tr>
        <w:trPr>
          <w:cantSplit w:val="true"/>
        </w:trPr>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Moisture pad</w:t>
            </w:r>
          </w:p>
        </w:tc>
        <w:tc>
          <w:tcPr>
            <w:tcW w:type="dxa" w:w="3969"/>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On trapdoor</w:t>
            </w:r>
          </w:p>
        </w:tc>
        <w:tc>
          <w:tcPr>
            <w:tcW w:type="dxa" w:w="3175"/>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ADC / ESP32</w:t>
            </w:r>
          </w:p>
        </w:tc>
      </w:tr>
      <w:tr>
        <w:trPr>
          <w:cantSplit w:val="true"/>
        </w:trPr>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Metal coil</w:t>
            </w:r>
          </w:p>
        </w:tc>
        <w:tc>
          <w:tcPr>
            <w:tcW w:type="dxa" w:w="3969"/>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Under platform (fixed)</w:t>
            </w:r>
          </w:p>
        </w:tc>
        <w:tc>
          <w:tcPr>
            <w:tcW w:type="dxa" w:w="3175"/>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Digital</w:t>
            </w:r>
          </w:p>
        </w:tc>
      </w:tr>
      <w:tr>
        <w:trPr>
          <w:cantSplit w:val="true"/>
        </w:trPr>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 × IR bin-full</w:t>
            </w:r>
          </w:p>
        </w:tc>
        <w:tc>
          <w:tcPr>
            <w:tcW w:type="dxa" w:w="3969"/>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Mid-frame above each bin</w:t>
            </w:r>
          </w:p>
        </w:tc>
        <w:tc>
          <w:tcPr>
            <w:tcW w:type="dxa" w:w="3175"/>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GPIO</w:t>
            </w:r>
          </w:p>
        </w:tc>
      </w:tr>
      <w:tr>
        <w:trPr>
          <w:cantSplit w:val="true"/>
        </w:trPr>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NEMA 17 + A4988</w:t>
            </w:r>
          </w:p>
        </w:tc>
        <w:tc>
          <w:tcPr>
            <w:tcW w:type="dxa" w:w="3969"/>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Right of spout / base</w:t>
            </w:r>
          </w:p>
        </w:tc>
        <w:tc>
          <w:tcPr>
            <w:tcW w:type="dxa" w:w="3175"/>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STEP/DIR/EN</w:t>
            </w:r>
          </w:p>
        </w:tc>
      </w:tr>
      <w:tr>
        <w:trPr>
          <w:cantSplit w:val="true"/>
        </w:trPr>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MG996R</w:t>
            </w:r>
          </w:p>
        </w:tc>
        <w:tc>
          <w:tcPr>
            <w:tcW w:type="dxa" w:w="3969"/>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Platform side</w:t>
            </w:r>
          </w:p>
        </w:tc>
        <w:tc>
          <w:tcPr>
            <w:tcW w:type="dxa" w:w="3175"/>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PWM</w:t>
            </w:r>
          </w:p>
        </w:tc>
      </w:tr>
      <w:tr>
        <w:trPr>
          <w:cantSplit w:val="true"/>
        </w:trPr>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ESP32-S3 / HX711 / A4988</w:t>
            </w:r>
          </w:p>
        </w:tc>
        <w:tc>
          <w:tcPr>
            <w:tcW w:type="dxa" w:w="3969"/>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Base electronics bay</w:t>
            </w:r>
          </w:p>
        </w:tc>
        <w:tc>
          <w:tcPr>
            <w:tcW w:type="dxa" w:w="3175"/>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w:t>
            </w:r>
          </w:p>
        </w:tc>
      </w:tr>
      <w:tr>
        <w:trPr>
          <w:cantSplit w:val="true"/>
        </w:trPr>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Home switch</w:t>
            </w:r>
          </w:p>
        </w:tc>
        <w:tc>
          <w:tcPr>
            <w:tcW w:type="dxa" w:w="3969"/>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Beside spout</w:t>
            </w:r>
          </w:p>
        </w:tc>
        <w:tc>
          <w:tcPr>
            <w:tcW w:type="dxa" w:w="3175"/>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GPIO</w:t>
            </w:r>
          </w:p>
        </w:tc>
      </w:tr>
      <w:tr>
        <w:trPr>
          <w:cantSplit w:val="true"/>
        </w:trPr>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OLED 0.96"</w:t>
            </w:r>
          </w:p>
        </w:tc>
        <w:tc>
          <w:tcPr>
            <w:tcW w:type="dxa" w:w="3969"/>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Front panel</w:t>
            </w:r>
          </w:p>
        </w:tc>
        <w:tc>
          <w:tcPr>
            <w:tcW w:type="dxa" w:w="3175"/>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I2C</w:t>
            </w:r>
          </w:p>
        </w:tc>
      </w:tr>
      <w:tr>
        <w:trPr>
          <w:cantSplit w:val="true"/>
        </w:trPr>
        <w:tc>
          <w:tcPr>
            <w:tcW w:type="dxa" w:w="226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microSD</w:t>
            </w:r>
          </w:p>
        </w:tc>
        <w:tc>
          <w:tcPr>
            <w:tcW w:type="dxa" w:w="3969"/>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ESP32-S3-CAM / base</w:t>
            </w:r>
          </w:p>
        </w:tc>
        <w:tc>
          <w:tcPr>
            <w:tcW w:type="dxa" w:w="3175"/>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SPI</w:t>
            </w:r>
          </w:p>
        </w:tc>
      </w:tr>
      <w:tr>
        <w:trPr>
          <w:cantSplit w:val="true"/>
        </w:trPr>
        <w:tc>
          <w:tcPr>
            <w:tcW w:type="dxa" w:w="226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12 V 3 A + 5 V buck</w:t>
            </w:r>
          </w:p>
        </w:tc>
        <w:tc>
          <w:tcPr>
            <w:tcW w:type="dxa" w:w="3969"/>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Base, rear</w:t>
            </w:r>
          </w:p>
        </w:tc>
        <w:tc>
          <w:tcPr>
            <w:tcW w:type="dxa" w:w="3175"/>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Power</w:t>
            </w:r>
          </w:p>
        </w:tc>
      </w:tr>
    </w:tbl>
    <w:p>
      <w:pPr>
        <w:spacing w:after="40" w:before="0" w:line="240" w:lineRule="auto"/>
      </w:pPr>
    </w:p>
    <w:p>
      <w:pPr>
        <w:pStyle w:val="Heading1"/>
        <w:keepNext/>
        <w:pageBreakBefore/>
        <w:pBdr>
          <w:bottom w:val="single" w:sz="8" w:space="2" w:color="1F4E45"/>
        </w:pBdr>
      </w:pPr>
      <w:r>
        <w:rPr>
          <w:rFonts w:ascii="Calibri" w:hAnsi="Calibri" w:eastAsia="Microsoft JhengHei"/>
          <w:b/>
          <w:i w:val="0"/>
          <w:color w:val="1F4E45"/>
          <w:sz w:val="40"/>
        </w:rPr>
        <w:t>5. BOM (HKD)</w:t>
      </w:r>
    </w:p>
    <w:tbl>
      <w:tblPr>
        <w:tblStyle w:val="TableGrid"/>
        <w:tblW w:type="auto" w:w="0"/>
        <w:jc w:val="center"/>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2353"/>
        <w:gridCol w:w="2353"/>
        <w:gridCol w:w="2353"/>
        <w:gridCol w:w="2353"/>
      </w:tblGrid>
      <w:tr>
        <w:trPr>
          <w:cantSplit w:val="true"/>
          <w:tblHeader w:val="true"/>
          <w:tblHeader w:val="true"/>
          <w:tblHeader w:val="true"/>
          <w:tblHeader w:val="true"/>
        </w:trPr>
        <w:tc>
          <w:tcPr>
            <w:tcW w:type="dxa" w:w="5102"/>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Item</w:t>
            </w:r>
          </w:p>
        </w:tc>
        <w:tc>
          <w:tcPr>
            <w:tcW w:type="dxa" w:w="1020"/>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Qty</w:t>
            </w:r>
          </w:p>
        </w:tc>
        <w:tc>
          <w:tcPr>
            <w:tcW w:type="dxa" w:w="1361"/>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Unit</w:t>
            </w:r>
          </w:p>
        </w:tc>
        <w:tc>
          <w:tcPr>
            <w:tcW w:type="dxa" w:w="1928"/>
            <w:tcMar>
              <w:top w:w="28" w:type="dxa"/>
              <w:bottom w:w="28" w:type="dxa"/>
              <w:start w:w="56" w:type="dxa"/>
              <w:end w:w="56" w:type="dxa"/>
            </w:tcMar>
            <w:shd w:val="clear" w:color="auto" w:fill="1F4E45"/>
          </w:tcPr>
          <w:p>
            <w:pPr>
              <w:spacing w:after="0" w:line="240" w:lineRule="auto"/>
            </w:pPr>
            <w:r>
              <w:rPr>
                <w:rFonts w:ascii="Calibri" w:hAnsi="Calibri" w:eastAsia="Microsoft JhengHei"/>
                <w:b/>
                <w:i w:val="0"/>
                <w:color w:val="FFFFFF"/>
                <w:sz w:val="15"/>
              </w:rPr>
              <w:t>Total</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ESP32-S3-CAM</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120</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120</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OLED 0.96"</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20</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20</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microSD 16 GB</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15</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15</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5 kg load cell + HX711</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35</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35</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NEMA 17 stepper</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75</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75</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A4988 driver</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18</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18</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MG996R servo</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35</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35</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IR break-beam</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15</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15</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Capacitive moisture</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15</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15</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 × IR bin-full</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5</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20</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Microswitches</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3</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3</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9</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12 V 3 A adapter</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45</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45</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5 V 3 A buck</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18</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Plywood / acrylic</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160</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160</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3D-printed brackets</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45</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45</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Bins (reused)</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9</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36</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Hinges / screws / feet</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60</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60</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Wire / connectors</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45</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45</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Labels / tape</w:t>
            </w:r>
          </w:p>
        </w:tc>
        <w:tc>
          <w:tcPr>
            <w:tcW w:type="dxa" w:w="1020"/>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20</w:t>
            </w: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20</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Misc / spare</w:t>
            </w:r>
          </w:p>
        </w:tc>
        <w:tc>
          <w:tcPr>
            <w:tcW w:type="dxa" w:w="1020"/>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w:t>
            </w:r>
          </w:p>
        </w:tc>
        <w:tc>
          <w:tcPr>
            <w:tcW w:type="dxa" w:w="1361"/>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15</w:t>
            </w: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15</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Subtotal</w:t>
            </w:r>
          </w:p>
        </w:tc>
        <w:tc>
          <w:tcPr>
            <w:tcW w:type="dxa" w:w="1020"/>
            <w:tcMar>
              <w:top w:w="28" w:type="dxa"/>
              <w:bottom w:w="28" w:type="dxa"/>
              <w:start w:w="56" w:type="dxa"/>
              <w:end w:w="56" w:type="dxa"/>
            </w:tcMar>
          </w:tcPr>
          <w:p>
            <w:pPr>
              <w:spacing w:after="0" w:line="240" w:lineRule="auto"/>
            </w:pPr>
          </w:p>
        </w:tc>
        <w:tc>
          <w:tcPr>
            <w:tcW w:type="dxa" w:w="1361"/>
            <w:tcMar>
              <w:top w:w="28" w:type="dxa"/>
              <w:bottom w:w="28" w:type="dxa"/>
              <w:start w:w="56" w:type="dxa"/>
              <w:end w:w="56" w:type="dxa"/>
            </w:tcMar>
          </w:tcPr>
          <w:p>
            <w:pPr>
              <w:spacing w:after="0" w:line="240" w:lineRule="auto"/>
            </w:pP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866</w:t>
            </w:r>
          </w:p>
        </w:tc>
      </w:tr>
      <w:tr>
        <w:trPr>
          <w:cantSplit w:val="true"/>
        </w:trPr>
        <w:tc>
          <w:tcPr>
            <w:tcW w:type="dxa" w:w="5102"/>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15% contingency</w:t>
            </w:r>
          </w:p>
        </w:tc>
        <w:tc>
          <w:tcPr>
            <w:tcW w:type="dxa" w:w="1020"/>
            <w:tcMar>
              <w:top w:w="28" w:type="dxa"/>
              <w:bottom w:w="28" w:type="dxa"/>
              <w:start w:w="56" w:type="dxa"/>
              <w:end w:w="56" w:type="dxa"/>
            </w:tcMar>
            <w:shd w:val="clear" w:color="auto" w:fill="F7F9F8"/>
          </w:tcPr>
          <w:p>
            <w:pPr>
              <w:spacing w:after="0" w:line="240" w:lineRule="auto"/>
            </w:pPr>
          </w:p>
        </w:tc>
        <w:tc>
          <w:tcPr>
            <w:tcW w:type="dxa" w:w="1361"/>
            <w:tcMar>
              <w:top w:w="28" w:type="dxa"/>
              <w:bottom w:w="28" w:type="dxa"/>
              <w:start w:w="56" w:type="dxa"/>
              <w:end w:w="56" w:type="dxa"/>
            </w:tcMar>
            <w:shd w:val="clear" w:color="auto" w:fill="F7F9F8"/>
          </w:tcPr>
          <w:p>
            <w:pPr>
              <w:spacing w:after="0" w:line="240" w:lineRule="auto"/>
            </w:pPr>
          </w:p>
        </w:tc>
        <w:tc>
          <w:tcPr>
            <w:tcW w:type="dxa" w:w="1928"/>
            <w:tcMar>
              <w:top w:w="28" w:type="dxa"/>
              <w:bottom w:w="28" w:type="dxa"/>
              <w:start w:w="56" w:type="dxa"/>
              <w:end w:w="56" w:type="dxa"/>
            </w:tcMar>
            <w:shd w:val="clear" w:color="auto" w:fill="F7F9F8"/>
          </w:tcPr>
          <w:p>
            <w:pPr>
              <w:spacing w:after="0" w:line="240" w:lineRule="auto"/>
            </w:pPr>
            <w:r>
              <w:rPr>
                <w:rFonts w:ascii="Calibri" w:hAnsi="Calibri" w:eastAsia="Microsoft JhengHei"/>
                <w:b w:val="0"/>
                <w:i w:val="0"/>
                <w:color w:val="1F2937"/>
                <w:sz w:val="15"/>
              </w:rPr>
              <w:t>130</w:t>
            </w:r>
          </w:p>
        </w:tc>
      </w:tr>
      <w:tr>
        <w:trPr>
          <w:cantSplit w:val="true"/>
        </w:trPr>
        <w:tc>
          <w:tcPr>
            <w:tcW w:type="dxa" w:w="5102"/>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TOTAL</w:t>
            </w:r>
          </w:p>
        </w:tc>
        <w:tc>
          <w:tcPr>
            <w:tcW w:type="dxa" w:w="1020"/>
            <w:tcMar>
              <w:top w:w="28" w:type="dxa"/>
              <w:bottom w:w="28" w:type="dxa"/>
              <w:start w:w="56" w:type="dxa"/>
              <w:end w:w="56" w:type="dxa"/>
            </w:tcMar>
          </w:tcPr>
          <w:p>
            <w:pPr>
              <w:spacing w:after="0" w:line="240" w:lineRule="auto"/>
            </w:pPr>
          </w:p>
        </w:tc>
        <w:tc>
          <w:tcPr>
            <w:tcW w:type="dxa" w:w="1361"/>
            <w:tcMar>
              <w:top w:w="28" w:type="dxa"/>
              <w:bottom w:w="28" w:type="dxa"/>
              <w:start w:w="56" w:type="dxa"/>
              <w:end w:w="56" w:type="dxa"/>
            </w:tcMar>
          </w:tcPr>
          <w:p>
            <w:pPr>
              <w:spacing w:after="0" w:line="240" w:lineRule="auto"/>
            </w:pPr>
          </w:p>
        </w:tc>
        <w:tc>
          <w:tcPr>
            <w:tcW w:type="dxa" w:w="1928"/>
            <w:tcMar>
              <w:top w:w="28" w:type="dxa"/>
              <w:bottom w:w="28" w:type="dxa"/>
              <w:start w:w="56" w:type="dxa"/>
              <w:end w:w="56" w:type="dxa"/>
            </w:tcMar>
          </w:tcPr>
          <w:p>
            <w:pPr>
              <w:spacing w:after="0" w:line="240" w:lineRule="auto"/>
            </w:pPr>
            <w:r>
              <w:rPr>
                <w:rFonts w:ascii="Calibri" w:hAnsi="Calibri" w:eastAsia="Microsoft JhengHei"/>
                <w:b w:val="0"/>
                <w:i w:val="0"/>
                <w:color w:val="1F2937"/>
                <w:sz w:val="15"/>
              </w:rPr>
              <w:t>≈ 996</w:t>
            </w:r>
          </w:p>
        </w:tc>
      </w:tr>
    </w:tbl>
    <w:p>
      <w:pPr>
        <w:spacing w:after="40" w:before="0" w:line="240" w:lineRule="auto"/>
      </w:pPr>
    </w:p>
    <w:p>
      <w:pPr>
        <w:pStyle w:val="Heading1"/>
        <w:keepNext/>
        <w:pageBreakBefore/>
        <w:pBdr>
          <w:bottom w:val="single" w:sz="8" w:space="2" w:color="1F4E45"/>
        </w:pBdr>
      </w:pPr>
      <w:r>
        <w:rPr>
          <w:rFonts w:ascii="Calibri" w:hAnsi="Calibri" w:eastAsia="Microsoft JhengHei"/>
          <w:b/>
          <w:i w:val="0"/>
          <w:color w:val="1F4E45"/>
          <w:sz w:val="40"/>
        </w:rPr>
        <w:t>6. Operation</w:t>
      </w:r>
    </w:p>
    <w:p>
      <w:pPr>
        <w:keepNext/>
        <w:spacing w:before="40" w:after="40"/>
        <w:jc w:val="center"/>
      </w:pPr>
      <w:r>
        <w:drawing>
          <wp:inline xmlns:a="http://schemas.openxmlformats.org/drawingml/2006/main" xmlns:pic="http://schemas.openxmlformats.org/drawingml/2006/picture">
            <wp:extent cx="5976000" cy="3036194"/>
            <wp:docPr id="4" name="Picture 4"/>
            <wp:cNvGraphicFramePr>
              <a:graphicFrameLocks noChangeAspect="1"/>
            </wp:cNvGraphicFramePr>
            <a:graphic>
              <a:graphicData uri="http://schemas.openxmlformats.org/drawingml/2006/picture">
                <pic:pic>
                  <pic:nvPicPr>
                    <pic:cNvPr id="0" name="09_storyboard_5.png"/>
                    <pic:cNvPicPr/>
                  </pic:nvPicPr>
                  <pic:blipFill>
                    <a:blip r:embed="rId14"/>
                    <a:stretch>
                      <a:fillRect/>
                    </a:stretch>
                  </pic:blipFill>
                  <pic:spPr>
                    <a:xfrm>
                      <a:off x="0" y="0"/>
                      <a:ext cx="5976000" cy="3036194"/>
                    </a:xfrm>
                    <a:prstGeom prst="rect"/>
                  </pic:spPr>
                </pic:pic>
              </a:graphicData>
            </a:graphic>
          </wp:inline>
        </w:drawing>
      </w:r>
    </w:p>
    <w:p>
      <w:pPr>
        <w:spacing w:after="160"/>
        <w:jc w:val="center"/>
      </w:pPr>
      <w:r>
        <w:rPr>
          <w:rFonts w:ascii="Calibri" w:hAnsi="Calibri" w:eastAsia="Microsoft JhengHei"/>
          <w:b w:val="0"/>
          <w:i/>
          <w:color w:val="5A6778"/>
          <w:sz w:val="16"/>
        </w:rPr>
        <w:t>Figure 3. Operation storyboard: throw, close/scan, rotate, drop, done.</w:t>
      </w:r>
    </w:p>
    <w:p>
      <w:pPr>
        <w:spacing w:after="60"/>
        <w:ind w:left="340" w:hanging="340"/>
      </w:pPr>
      <w:r>
        <w:rPr>
          <w:rFonts w:ascii="Calibri" w:hAnsi="Calibri" w:eastAsia="Microsoft JhengHei"/>
          <w:b w:val="0"/>
          <w:i w:val="0"/>
          <w:color w:val="1F2937"/>
          <w:sz w:val="21"/>
        </w:rPr>
        <w:t>1. Lid is open; the bottle is thrown in and lands on the closed trapdoor.</w:t>
      </w:r>
    </w:p>
    <w:p>
      <w:pPr>
        <w:spacing w:after="60"/>
        <w:ind w:left="340" w:hanging="340"/>
      </w:pPr>
      <w:r>
        <w:rPr>
          <w:rFonts w:ascii="Calibri" w:hAnsi="Calibri" w:eastAsia="Microsoft JhengHei"/>
          <w:b w:val="0"/>
          <w:i w:val="0"/>
          <w:color w:val="1F2937"/>
          <w:sz w:val="21"/>
        </w:rPr>
        <w:t>2. Lid closes; ESP32-S3-CAM captures, MobileNetV2 runs on-board; weight/moisture/IR are fused.</w:t>
      </w:r>
    </w:p>
    <w:p>
      <w:pPr>
        <w:spacing w:after="60"/>
        <w:ind w:left="340" w:hanging="340"/>
      </w:pPr>
      <w:r>
        <w:rPr>
          <w:rFonts w:ascii="Calibri" w:hAnsi="Calibri" w:eastAsia="Microsoft JhengHei"/>
          <w:b w:val="0"/>
          <w:i w:val="0"/>
          <w:color w:val="1F2937"/>
          <w:sz w:val="21"/>
        </w:rPr>
        <w:t>3. The on-board classifier picks a bin; the ESP32 rotates the spout.</w:t>
      </w:r>
    </w:p>
    <w:p>
      <w:pPr>
        <w:spacing w:after="60"/>
        <w:ind w:left="340" w:hanging="340"/>
      </w:pPr>
      <w:r>
        <w:rPr>
          <w:rFonts w:ascii="Calibri" w:hAnsi="Calibri" w:eastAsia="Microsoft JhengHei"/>
          <w:b w:val="0"/>
          <w:i w:val="0"/>
          <w:color w:val="1F2937"/>
          <w:sz w:val="21"/>
        </w:rPr>
        <w:t>4. MG996R opens the trapdoor; the item falls through funnel and spout.</w:t>
      </w:r>
    </w:p>
    <w:p>
      <w:pPr>
        <w:spacing w:after="60"/>
        <w:ind w:left="340" w:hanging="340"/>
      </w:pPr>
      <w:r>
        <w:rPr>
          <w:rFonts w:ascii="Calibri" w:hAnsi="Calibri" w:eastAsia="Microsoft JhengHei"/>
          <w:b w:val="0"/>
          <w:i w:val="0"/>
          <w:color w:val="1F2937"/>
          <w:sz w:val="21"/>
        </w:rPr>
        <w:t>5. Spring closes the door; spout homes; app records the event.</w:t>
      </w:r>
    </w:p>
    <w:p>
      <w:pPr>
        <w:pStyle w:val="Heading1"/>
        <w:keepNext/>
        <w:pageBreakBefore/>
        <w:pBdr>
          <w:bottom w:val="single" w:sz="8" w:space="2" w:color="1F4E45"/>
        </w:pBdr>
      </w:pPr>
      <w:r>
        <w:rPr>
          <w:rFonts w:ascii="Calibri" w:hAnsi="Calibri" w:eastAsia="Microsoft JhengHei"/>
          <w:b/>
          <w:i w:val="0"/>
          <w:color w:val="1F4E45"/>
          <w:sz w:val="40"/>
        </w:rPr>
        <w:t>7. Build and test notes</w:t>
      </w:r>
    </w:p>
    <w:p>
      <w:pPr>
        <w:pStyle w:val="ListBullet"/>
        <w:spacing w:after="60"/>
        <w:ind w:left="340"/>
      </w:pPr>
      <w:r>
        <w:rPr>
          <w:rFonts w:ascii="Calibri" w:hAnsi="Calibri" w:eastAsia="Microsoft JhengHei"/>
          <w:b w:val="0"/>
          <w:i w:val="0"/>
          <w:color w:val="1F2937"/>
          <w:sz w:val="21"/>
        </w:rPr>
        <w:t>Build the bin frame and 2 × 2 bins first; fit the platform and trapdoor before the lid.</w:t>
      </w:r>
    </w:p>
    <w:p>
      <w:pPr>
        <w:pStyle w:val="ListBullet"/>
        <w:spacing w:after="60"/>
        <w:ind w:left="340"/>
      </w:pPr>
      <w:r>
        <w:rPr>
          <w:rFonts w:ascii="Calibri" w:hAnsi="Calibri" w:eastAsia="Microsoft JhengHei"/>
          <w:b w:val="0"/>
          <w:i w:val="0"/>
          <w:color w:val="1F2937"/>
          <w:sz w:val="21"/>
        </w:rPr>
        <w:t>Bench-test NEMA 17 + A4988 at 0.8 A, 1/8 microstep, 3:1 belt; home switch repeatability ±2 steps.</w:t>
      </w:r>
    </w:p>
    <w:p>
      <w:pPr>
        <w:pStyle w:val="ListBullet"/>
        <w:spacing w:after="60"/>
        <w:ind w:left="340"/>
      </w:pPr>
      <w:r>
        <w:rPr>
          <w:rFonts w:ascii="Calibri" w:hAnsi="Calibri" w:eastAsia="Microsoft JhengHei"/>
          <w:b w:val="0"/>
          <w:i w:val="0"/>
          <w:color w:val="1F2937"/>
          <w:sz w:val="21"/>
        </w:rPr>
        <w:t>Calibrate the 5 kg cell with 0/100/500/1000 g; place the item within 60 mm of platform centre.</w:t>
      </w:r>
    </w:p>
    <w:p>
      <w:pPr>
        <w:pStyle w:val="ListBullet"/>
        <w:spacing w:after="60"/>
        <w:ind w:left="340"/>
      </w:pPr>
      <w:r>
        <w:rPr>
          <w:rFonts w:ascii="Calibri" w:hAnsi="Calibri" w:eastAsia="Microsoft JhengHei"/>
          <w:b w:val="0"/>
          <w:i w:val="0"/>
          <w:color w:val="1F2937"/>
          <w:sz w:val="21"/>
        </w:rPr>
        <w:t>Test 20 dry cycles, then 20 real items, then wet waste. Record jam rate, cycle time, accuracy.</w:t>
      </w:r>
    </w:p>
    <w:p>
      <w:pPr>
        <w:pStyle w:val="ListBullet"/>
        <w:spacing w:after="60"/>
        <w:ind w:left="340"/>
      </w:pPr>
      <w:r>
        <w:rPr>
          <w:rFonts w:ascii="Calibri" w:hAnsi="Calibri" w:eastAsia="Microsoft JhengHei"/>
          <w:b w:val="0"/>
          <w:i w:val="0"/>
          <w:color w:val="1F2937"/>
          <w:sz w:val="21"/>
        </w:rPr>
        <w:t>Never run with the lid or bin drawer open; keep the 12 V fuse and e-stop.</w:t>
      </w:r>
    </w:p>
    <w:p>
      <w:pPr>
        <w:pStyle w:val="Heading1"/>
        <w:keepNext/>
        <w:pageBreakBefore/>
        <w:pBdr>
          <w:bottom w:val="single" w:sz="8" w:space="2" w:color="1F4E45"/>
        </w:pBdr>
      </w:pPr>
      <w:r>
        <w:rPr>
          <w:rFonts w:ascii="Calibri" w:hAnsi="Calibri" w:eastAsia="Microsoft JhengHei"/>
          <w:b/>
          <w:i w:val="0"/>
          <w:color w:val="1F4E45"/>
          <w:sz w:val="40"/>
        </w:rPr>
        <w:t>8. Limitations</w:t>
      </w:r>
    </w:p>
    <w:p>
      <w:pPr>
        <w:pStyle w:val="ListBullet"/>
        <w:spacing w:after="60"/>
        <w:ind w:left="340"/>
      </w:pPr>
      <w:r>
        <w:rPr>
          <w:rFonts w:ascii="Calibri" w:hAnsi="Calibri" w:eastAsia="Microsoft JhengHei"/>
          <w:b w:val="0"/>
          <w:i w:val="0"/>
          <w:color w:val="1F2937"/>
          <w:sz w:val="21"/>
        </w:rPr>
        <w:t>Standalone edge AI, but not full MobileNetV2: 0.35/0.5 at 96–128 px INT8; accuracy must be validated on your own 4-class dataset.</w:t>
      </w:r>
    </w:p>
    <w:p>
      <w:pPr>
        <w:pStyle w:val="ListBullet"/>
        <w:spacing w:after="60"/>
        <w:ind w:left="340"/>
      </w:pPr>
      <w:r>
        <w:rPr>
          <w:rFonts w:ascii="Calibri" w:hAnsi="Calibri" w:eastAsia="Microsoft JhengHei"/>
          <w:b w:val="0"/>
          <w:i w:val="0"/>
          <w:color w:val="1F2937"/>
          <w:sz w:val="21"/>
        </w:rPr>
        <w:t>Single load cell: off-centre items can add ±5–10 g error.</w:t>
      </w:r>
    </w:p>
    <w:p>
      <w:pPr>
        <w:pStyle w:val="ListBullet"/>
        <w:spacing w:after="60"/>
        <w:ind w:left="340"/>
      </w:pPr>
      <w:r>
        <w:rPr>
          <w:rFonts w:ascii="Calibri" w:hAnsi="Calibri" w:eastAsia="Microsoft JhengHei"/>
          <w:b w:val="0"/>
          <w:i w:val="0"/>
          <w:color w:val="1F2937"/>
          <w:sz w:val="21"/>
        </w:rPr>
        <w:t>IR bin-full sensors are fixed-height switches, not continuous level sensors.</w:t>
      </w:r>
    </w:p>
    <w:p>
      <w:pPr>
        <w:pStyle w:val="ListBullet"/>
        <w:spacing w:after="60"/>
        <w:ind w:left="340"/>
      </w:pPr>
      <w:r>
        <w:rPr>
          <w:rFonts w:ascii="Calibri" w:hAnsi="Calibri" w:eastAsia="Microsoft JhengHei"/>
          <w:b w:val="0"/>
          <w:i w:val="0"/>
          <w:color w:val="1F2937"/>
          <w:sz w:val="21"/>
        </w:rPr>
        <w:t>DIY metal coil is confirmatory; transparent plastic vs glass remains hard.</w:t>
      </w:r>
    </w:p>
    <w:p>
      <w:pPr>
        <w:pStyle w:val="ListBullet"/>
        <w:spacing w:after="60"/>
        <w:ind w:left="340"/>
      </w:pPr>
      <w:r>
        <w:rPr>
          <w:rFonts w:ascii="Calibri" w:hAnsi="Calibri" w:eastAsia="Microsoft JhengHei"/>
          <w:b w:val="0"/>
          <w:i w:val="0"/>
          <w:color w:val="1F2937"/>
          <w:sz w:val="21"/>
        </w:rPr>
        <w:t>Blender model is a concept/visualisation mesh, not a manufacturing CAD file.</w:t>
      </w:r>
    </w:p>
    <w:sectPr w:rsidR="00FC693F" w:rsidRPr="0006063C" w:rsidSect="00034616">
      <w:headerReference w:type="default" r:id="rId9"/>
      <w:footerReference w:type="default" r:id="rId10"/>
      <w:pgSz w:w="11906" w:h="16838"/>
      <w:pgMar w:top="1134" w:right="1247"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JhengHei"/>
        <w:b w:val="0"/>
        <w:i w:val="0"/>
        <w:color w:val="5A6778"/>
        <w:sz w:val="16"/>
      </w:rPr>
      <w:t xml:space="preserve">Page </w:t>
    </w:r>
    <w:r>
      <w:fldChar w:fldCharType="begin"/>
      <w:instrText xml:space="preserve"> PAGE </w:instrText>
      <w:fldChar w:fldCharType="separate"/>
      <w:t>1</w:t>
      <w:fldChar w:fldCharType="end"/>
    </w:r>
    <w:r>
      <w:rPr>
        <w:rFonts w:ascii="Calibri" w:hAnsi="Calibri" w:eastAsia="Microsoft JhengHei"/>
        <w:b w:val="0"/>
        <w:i w:val="0"/>
        <w:color w:val="5A6778"/>
        <w:sz w:val="16"/>
      </w:rPr>
      <w:t xml:space="preserve"> of </w:t>
    </w:r>
    <w:r>
      <w:fldChar w:fldCharType="begin"/>
      <w:instrText xml:space="preserve"> NUMPAGES </w:instrText>
      <w:fldChar w:fldCharType="separate"/>
      <w:t>1</w:t>
      <w:fldChar w:fldCharType="end"/>
    </w:r>
    <w:r>
      <w:rPr>
        <w:rFonts w:ascii="Calibri" w:hAnsi="Calibri" w:eastAsia="Microsoft JhengHei"/>
        <w:b w:val="0"/>
        <w:i w:val="0"/>
        <w:color w:val="5A6778"/>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4" w:space="2" w:color="D9DEE3"/>
      </w:pBdr>
    </w:pPr>
    <w:r/>
    <w:r>
      <w:rPr>
        <w:rFonts w:ascii="Calibri" w:hAnsi="Calibri" w:eastAsia="Microsoft JhengHei"/>
        <w:b w:val="0"/>
        <w:i w:val="0"/>
        <w:color w:val="5A6778"/>
        <w:sz w:val="16"/>
      </w:rPr>
      <w:t>Smart Waste Sorting Bin — Engineering Design Package</w:t>
    </w:r>
    <w:r>
      <w:rPr>
        <w:rFonts w:ascii="Calibri" w:hAnsi="Calibri" w:eastAsia="Microsoft JhengHei"/>
        <w:b/>
        <w:i w:val="0"/>
        <w:color w:val="5A6778"/>
        <w:sz w:val="16"/>
      </w:rPr>
      <w:t>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eastAsia="Microsoft Jheng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Calibri" w:hAnsi="Calibri" w:eastAsia="Microsoft JhengHei"/>
      <w:b/>
      <w:bCs/>
      <w:color w:val="1F4E45"/>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Microsoft JhengHei"/>
      <w:b/>
      <w:bCs/>
      <w:color w:val="1F4E45"/>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Microsoft JhengHei"/>
      <w:b/>
      <w:bCs/>
      <w:color w:val="D982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