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e4a743b0c7d3e4cff7246e9534bd41283ae8df"/>
    <w:p>
      <w:pPr>
        <w:pStyle w:val="Heading1"/>
      </w:pPr>
      <w:r>
        <w:t xml:space="preserve">Task: Architect the Engineering Learning Lifecycle</w:t>
      </w:r>
    </w:p>
    <w:bookmarkStart w:id="20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The Engineering Intelligence Platform has reached Version 1.0.</w:t>
      </w:r>
    </w:p>
    <w:p>
      <w:pPr>
        <w:pStyle w:val="BodyText"/>
      </w:pPr>
      <w:r>
        <w:t xml:space="preserve">The platform is considered architecturally mature.</w:t>
      </w:r>
    </w:p>
    <w:p>
      <w:pPr>
        <w:pStyle w:val="BodyText"/>
      </w:pPr>
      <w:r>
        <w:t xml:space="preserve">Its capability ecosystem, governance, cognitive architecture, automation, documentation, validation, and engineering philosophy are now stable.</w:t>
      </w:r>
    </w:p>
    <w:p>
      <w:pPr>
        <w:pStyle w:val="BodyText"/>
      </w:pPr>
      <w:r>
        <w:t xml:space="preserve">The objective is no longer to maximize repository growth.</w:t>
      </w:r>
    </w:p>
    <w:p>
      <w:pPr>
        <w:pStyle w:val="BodyText"/>
      </w:pPr>
      <w:r>
        <w:t xml:space="preserve">The objective is to maximize engineering excellence over time.</w:t>
      </w:r>
    </w:p>
    <w:p>
      <w:pPr>
        <w:pStyle w:val="BodyText"/>
      </w:pPr>
      <w:r>
        <w:t xml:space="preserve">This marks the transition from</w:t>
      </w:r>
      <w:r>
        <w:t xml:space="preserve"> </w:t>
      </w:r>
      <w:r>
        <w:rPr>
          <w:b/>
          <w:bCs/>
        </w:rPr>
        <w:t xml:space="preserve">building the platform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operating and evolving the platform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Design, implement, and integrate a complete Engineering Learning Lifecycle into the platform.</w:t>
      </w:r>
    </w:p>
    <w:p>
      <w:pPr>
        <w:pStyle w:val="BodyText"/>
      </w:pPr>
      <w:r>
        <w:t xml:space="preserve">This lifecycle will define how Hermes continuously learns from engineering work without compromising architectural stability.</w:t>
      </w:r>
    </w:p>
    <w:p>
      <w:pPr>
        <w:pStyle w:val="BodyText"/>
      </w:pPr>
      <w:r>
        <w:t xml:space="preserve">Treat this as a permanent subsystem of the Engineering Intelligence Platform.</w:t>
      </w:r>
    </w:p>
    <w:p>
      <w:pPr>
        <w:pStyle w:val="BodyText"/>
      </w:pPr>
      <w:r>
        <w:t xml:space="preserve">Its purpose is to ensure that every repository evolution is driven by evidence, engineering outcomes, and validated experience.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al-objective"/>
    <w:p>
      <w:pPr>
        <w:pStyle w:val="Heading1"/>
      </w:pPr>
      <w:r>
        <w:t xml:space="preserve">Architectural Objective</w:t>
      </w:r>
    </w:p>
    <w:p>
      <w:pPr>
        <w:pStyle w:val="FirstParagraph"/>
      </w:pPr>
      <w:r>
        <w:t xml:space="preserve">Hermes must transition from being merely an engineering execution agent into an engineering organization capable of disciplined institutional learning.</w:t>
      </w:r>
    </w:p>
    <w:p>
      <w:pPr>
        <w:pStyle w:val="BodyText"/>
      </w:pPr>
      <w:r>
        <w:t xml:space="preserve">Learning should become:</w:t>
      </w:r>
    </w:p>
    <w:p>
      <w:pPr>
        <w:pStyle w:val="Compact"/>
        <w:numPr>
          <w:ilvl w:val="0"/>
          <w:numId w:val="1001"/>
        </w:numPr>
      </w:pPr>
      <w:r>
        <w:t xml:space="preserve">structured</w:t>
      </w:r>
    </w:p>
    <w:p>
      <w:pPr>
        <w:pStyle w:val="Compact"/>
        <w:numPr>
          <w:ilvl w:val="0"/>
          <w:numId w:val="1001"/>
        </w:numPr>
      </w:pPr>
      <w:r>
        <w:t xml:space="preserve">governed</w:t>
      </w:r>
    </w:p>
    <w:p>
      <w:pPr>
        <w:pStyle w:val="Compact"/>
        <w:numPr>
          <w:ilvl w:val="0"/>
          <w:numId w:val="1001"/>
        </w:numPr>
      </w:pPr>
      <w:r>
        <w:t xml:space="preserve">repeatable</w:t>
      </w:r>
    </w:p>
    <w:p>
      <w:pPr>
        <w:pStyle w:val="Compact"/>
        <w:numPr>
          <w:ilvl w:val="0"/>
          <w:numId w:val="1001"/>
        </w:numPr>
      </w:pPr>
      <w:r>
        <w:t xml:space="preserve">evidence-driven</w:t>
      </w:r>
    </w:p>
    <w:p>
      <w:pPr>
        <w:pStyle w:val="Compact"/>
        <w:numPr>
          <w:ilvl w:val="0"/>
          <w:numId w:val="1001"/>
        </w:numPr>
      </w:pPr>
      <w:r>
        <w:t xml:space="preserve">architecture-aware</w:t>
      </w:r>
    </w:p>
    <w:p>
      <w:pPr>
        <w:pStyle w:val="FirstParagraph"/>
      </w:pPr>
      <w:r>
        <w:t xml:space="preserve">Repository evolution should become a deliberate engineering process rather than an automatic consequence of every interaction.</w:t>
      </w:r>
    </w:p>
    <w:p>
      <w:r>
        <w:pict>
          <v:rect style="width:0;height:1.5pt" o:hralign="center" o:hrstd="t" o:hr="t"/>
        </w:pict>
      </w:r>
    </w:p>
    <w:bookmarkEnd w:id="23"/>
    <w:bookmarkStart w:id="24" w:name="core-principle"/>
    <w:p>
      <w:pPr>
        <w:pStyle w:val="Heading1"/>
      </w:pPr>
      <w:r>
        <w:t xml:space="preserve">Core Principle</w:t>
      </w:r>
    </w:p>
    <w:p>
      <w:pPr>
        <w:pStyle w:val="FirstParagraph"/>
      </w:pPr>
      <w:r>
        <w:t xml:space="preserve">Hermes must never ask:</w:t>
      </w:r>
    </w:p>
    <w:p>
      <w:pPr>
        <w:pStyle w:val="BlockText"/>
      </w:pPr>
      <w:r>
        <w:t xml:space="preserve">“What can I add to the repository?”</w:t>
      </w:r>
    </w:p>
    <w:p>
      <w:pPr>
        <w:pStyle w:val="FirstParagraph"/>
      </w:pPr>
      <w:r>
        <w:t xml:space="preserve">Instead Hermes should always ask:</w:t>
      </w:r>
    </w:p>
    <w:p>
      <w:pPr>
        <w:pStyle w:val="BlockText"/>
      </w:pPr>
      <w:r>
        <w:t xml:space="preserve">“What did engineering teach us, and does that lesson deserve to become institutional knowledge?”</w:t>
      </w:r>
    </w:p>
    <w:p>
      <w:pPr>
        <w:pStyle w:val="FirstParagraph"/>
      </w:pPr>
      <w:r>
        <w:t xml:space="preserve">The repository is institutional memory.</w:t>
      </w:r>
    </w:p>
    <w:p>
      <w:pPr>
        <w:pStyle w:val="BodyText"/>
      </w:pPr>
      <w:r>
        <w:t xml:space="preserve">Protect it accordingly.</w:t>
      </w:r>
    </w:p>
    <w:p>
      <w:r>
        <w:pict>
          <v:rect style="width:0;height:1.5pt" o:hralign="center" o:hrstd="t" o:hr="t"/>
        </w:pict>
      </w:r>
    </w:p>
    <w:bookmarkEnd w:id="24"/>
    <w:bookmarkStart w:id="25" w:name="responsibilities"/>
    <w:p>
      <w:pPr>
        <w:pStyle w:val="Heading1"/>
      </w:pPr>
      <w:r>
        <w:t xml:space="preserve">Responsibilities</w:t>
      </w:r>
    </w:p>
    <w:p>
      <w:pPr>
        <w:pStyle w:val="FirstParagraph"/>
      </w:pPr>
      <w:r>
        <w:t xml:space="preserve">Design an end-to-end learning architecture that operates after every completed engineering task.</w:t>
      </w:r>
    </w:p>
    <w:p>
      <w:pPr>
        <w:pStyle w:val="BodyText"/>
      </w:pPr>
      <w:r>
        <w:t xml:space="preserve">The lifecycle should include, where appropriate:</w:t>
      </w:r>
    </w:p>
    <w:p>
      <w:pPr>
        <w:pStyle w:val="Compact"/>
        <w:numPr>
          <w:ilvl w:val="0"/>
          <w:numId w:val="1002"/>
        </w:numPr>
      </w:pPr>
      <w:r>
        <w:t xml:space="preserve">structured engineering retrospectives</w:t>
      </w:r>
    </w:p>
    <w:p>
      <w:pPr>
        <w:pStyle w:val="Compact"/>
        <w:numPr>
          <w:ilvl w:val="0"/>
          <w:numId w:val="1002"/>
        </w:numPr>
      </w:pPr>
      <w:r>
        <w:t xml:space="preserve">outcome evaluation</w:t>
      </w:r>
    </w:p>
    <w:p>
      <w:pPr>
        <w:pStyle w:val="Compact"/>
        <w:numPr>
          <w:ilvl w:val="0"/>
          <w:numId w:val="1002"/>
        </w:numPr>
      </w:pPr>
      <w:r>
        <w:t xml:space="preserve">root cause analysis</w:t>
      </w:r>
    </w:p>
    <w:p>
      <w:pPr>
        <w:pStyle w:val="Compact"/>
        <w:numPr>
          <w:ilvl w:val="0"/>
          <w:numId w:val="1002"/>
        </w:numPr>
      </w:pPr>
      <w:r>
        <w:t xml:space="preserve">repository support assessment</w:t>
      </w:r>
    </w:p>
    <w:p>
      <w:pPr>
        <w:pStyle w:val="Compact"/>
        <w:numPr>
          <w:ilvl w:val="0"/>
          <w:numId w:val="1002"/>
        </w:numPr>
      </w:pPr>
      <w:r>
        <w:t xml:space="preserve">architectural reflection</w:t>
      </w:r>
    </w:p>
    <w:p>
      <w:pPr>
        <w:pStyle w:val="Compact"/>
        <w:numPr>
          <w:ilvl w:val="0"/>
          <w:numId w:val="1002"/>
        </w:numPr>
      </w:pPr>
      <w:r>
        <w:t xml:space="preserve">governance review</w:t>
      </w:r>
    </w:p>
    <w:p>
      <w:pPr>
        <w:pStyle w:val="Compact"/>
        <w:numPr>
          <w:ilvl w:val="0"/>
          <w:numId w:val="1002"/>
        </w:numPr>
      </w:pPr>
      <w:r>
        <w:t xml:space="preserve">capability review</w:t>
      </w:r>
    </w:p>
    <w:p>
      <w:pPr>
        <w:pStyle w:val="Compact"/>
        <w:numPr>
          <w:ilvl w:val="0"/>
          <w:numId w:val="1002"/>
        </w:numPr>
      </w:pPr>
      <w:r>
        <w:t xml:space="preserve">documentation review</w:t>
      </w:r>
    </w:p>
    <w:p>
      <w:pPr>
        <w:pStyle w:val="Compact"/>
        <w:numPr>
          <w:ilvl w:val="0"/>
          <w:numId w:val="1002"/>
        </w:numPr>
      </w:pPr>
      <w:r>
        <w:t xml:space="preserve">automation review</w:t>
      </w:r>
    </w:p>
    <w:p>
      <w:pPr>
        <w:pStyle w:val="Compact"/>
        <w:numPr>
          <w:ilvl w:val="0"/>
          <w:numId w:val="1002"/>
        </w:numPr>
      </w:pPr>
      <w:r>
        <w:t xml:space="preserve">cognitive reasoning review</w:t>
      </w:r>
    </w:p>
    <w:p>
      <w:pPr>
        <w:pStyle w:val="Compact"/>
        <w:numPr>
          <w:ilvl w:val="0"/>
          <w:numId w:val="1002"/>
        </w:numPr>
      </w:pPr>
      <w:r>
        <w:t xml:space="preserve">convergence analysis</w:t>
      </w:r>
    </w:p>
    <w:p>
      <w:pPr>
        <w:pStyle w:val="Compact"/>
        <w:numPr>
          <w:ilvl w:val="0"/>
          <w:numId w:val="1002"/>
        </w:numPr>
      </w:pPr>
      <w:r>
        <w:t xml:space="preserve">institutionalization decision</w:t>
      </w:r>
    </w:p>
    <w:p>
      <w:pPr>
        <w:pStyle w:val="FirstParagraph"/>
      </w:pPr>
      <w:r>
        <w:t xml:space="preserve">The architecture should clearly define:</w:t>
      </w:r>
    </w:p>
    <w:p>
      <w:pPr>
        <w:pStyle w:val="Compact"/>
        <w:numPr>
          <w:ilvl w:val="0"/>
          <w:numId w:val="1003"/>
        </w:numPr>
      </w:pPr>
      <w:r>
        <w:t xml:space="preserve">lifecycle stages</w:t>
      </w:r>
    </w:p>
    <w:p>
      <w:pPr>
        <w:pStyle w:val="Compact"/>
        <w:numPr>
          <w:ilvl w:val="0"/>
          <w:numId w:val="1003"/>
        </w:numPr>
      </w:pPr>
      <w:r>
        <w:t xml:space="preserve">responsibilities</w:t>
      </w:r>
    </w:p>
    <w:p>
      <w:pPr>
        <w:pStyle w:val="Compact"/>
        <w:numPr>
          <w:ilvl w:val="0"/>
          <w:numId w:val="1003"/>
        </w:numPr>
      </w:pPr>
      <w:r>
        <w:t xml:space="preserve">decision points</w:t>
      </w:r>
    </w:p>
    <w:p>
      <w:pPr>
        <w:pStyle w:val="Compact"/>
        <w:numPr>
          <w:ilvl w:val="0"/>
          <w:numId w:val="1003"/>
        </w:numPr>
      </w:pPr>
      <w:r>
        <w:t xml:space="preserve">artifacts</w:t>
      </w:r>
    </w:p>
    <w:p>
      <w:pPr>
        <w:pStyle w:val="Compact"/>
        <w:numPr>
          <w:ilvl w:val="0"/>
          <w:numId w:val="1003"/>
        </w:numPr>
      </w:pPr>
      <w:r>
        <w:t xml:space="preserve">evidence requirements</w:t>
      </w:r>
    </w:p>
    <w:p>
      <w:pPr>
        <w:pStyle w:val="Compact"/>
        <w:numPr>
          <w:ilvl w:val="0"/>
          <w:numId w:val="1003"/>
        </w:numPr>
      </w:pPr>
      <w:r>
        <w:t xml:space="preserve">approval flow</w:t>
      </w:r>
    </w:p>
    <w:p>
      <w:pPr>
        <w:pStyle w:val="Compact"/>
        <w:numPr>
          <w:ilvl w:val="0"/>
          <w:numId w:val="1003"/>
        </w:numPr>
      </w:pPr>
      <w:r>
        <w:t xml:space="preserve">repository modification process</w:t>
      </w:r>
    </w:p>
    <w:p>
      <w:r>
        <w:pict>
          <v:rect style="width:0;height:1.5pt" o:hralign="center" o:hrstd="t" o:hr="t"/>
        </w:pict>
      </w:r>
    </w:p>
    <w:bookmarkEnd w:id="25"/>
    <w:bookmarkStart w:id="26" w:name="learning-philosophy"/>
    <w:p>
      <w:pPr>
        <w:pStyle w:val="Heading1"/>
      </w:pPr>
      <w:r>
        <w:t xml:space="preserve">Learning Philosophy</w:t>
      </w:r>
    </w:p>
    <w:p>
      <w:pPr>
        <w:pStyle w:val="FirstParagraph"/>
      </w:pPr>
      <w:r>
        <w:t xml:space="preserve">Assume the following:</w:t>
      </w:r>
    </w:p>
    <w:p>
      <w:pPr>
        <w:pStyle w:val="BodyText"/>
      </w:pPr>
      <w:r>
        <w:t xml:space="preserve">Most engineering work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modify the repository.</w:t>
      </w:r>
    </w:p>
    <w:p>
      <w:pPr>
        <w:pStyle w:val="BodyText"/>
      </w:pPr>
      <w:r>
        <w:t xml:space="preserve">Repository evolution is exceptional.</w:t>
      </w:r>
    </w:p>
    <w:p>
      <w:pPr>
        <w:pStyle w:val="BodyText"/>
      </w:pPr>
      <w:r>
        <w:t xml:space="preserve">Repository stability is valuable.</w:t>
      </w:r>
    </w:p>
    <w:p>
      <w:pPr>
        <w:pStyle w:val="BodyText"/>
      </w:pPr>
      <w:r>
        <w:t xml:space="preserve">Every proposed repository modification must demonstrate measurable long-term engineering benefit.</w:t>
      </w:r>
    </w:p>
    <w:p>
      <w:pPr>
        <w:pStyle w:val="BodyText"/>
      </w:pPr>
      <w:r>
        <w:t xml:space="preserve">Learning should optimize engineering quality—not repository activity.</w:t>
      </w:r>
    </w:p>
    <w:p>
      <w:r>
        <w:pict>
          <v:rect style="width:0;height:1.5pt" o:hralign="center" o:hrstd="t" o:hr="t"/>
        </w:pict>
      </w:r>
    </w:p>
    <w:bookmarkEnd w:id="26"/>
    <w:bookmarkStart w:id="27" w:name="repository-change-decision-framework"/>
    <w:p>
      <w:pPr>
        <w:pStyle w:val="Heading1"/>
      </w:pPr>
      <w:r>
        <w:t xml:space="preserve">Repository Change Decision Framework</w:t>
      </w:r>
    </w:p>
    <w:p>
      <w:pPr>
        <w:pStyle w:val="FirstParagraph"/>
      </w:pPr>
      <w:r>
        <w:t xml:space="preserve">Engineer a formal decision process capable of determining whether repository evolution is justified.</w:t>
      </w:r>
    </w:p>
    <w:p>
      <w:pPr>
        <w:pStyle w:val="BodyText"/>
      </w:pPr>
      <w:r>
        <w:t xml:space="preserve">Possible outcomes should include:</w:t>
      </w:r>
    </w:p>
    <w:p>
      <w:pPr>
        <w:pStyle w:val="Compact"/>
        <w:numPr>
          <w:ilvl w:val="0"/>
          <w:numId w:val="1004"/>
        </w:numPr>
      </w:pPr>
      <w:r>
        <w:t xml:space="preserve">No repository change</w:t>
      </w:r>
    </w:p>
    <w:p>
      <w:pPr>
        <w:pStyle w:val="Compact"/>
        <w:numPr>
          <w:ilvl w:val="0"/>
          <w:numId w:val="1004"/>
        </w:numPr>
      </w:pPr>
      <w:r>
        <w:t xml:space="preserve">Refine existing capability</w:t>
      </w:r>
    </w:p>
    <w:p>
      <w:pPr>
        <w:pStyle w:val="Compact"/>
        <w:numPr>
          <w:ilvl w:val="0"/>
          <w:numId w:val="1004"/>
        </w:numPr>
      </w:pPr>
      <w:r>
        <w:t xml:space="preserve">Improve governance</w:t>
      </w:r>
    </w:p>
    <w:p>
      <w:pPr>
        <w:pStyle w:val="Compact"/>
        <w:numPr>
          <w:ilvl w:val="0"/>
          <w:numId w:val="1004"/>
        </w:numPr>
      </w:pPr>
      <w:r>
        <w:t xml:space="preserve">Improve documentation</w:t>
      </w:r>
    </w:p>
    <w:p>
      <w:pPr>
        <w:pStyle w:val="Compact"/>
        <w:numPr>
          <w:ilvl w:val="0"/>
          <w:numId w:val="1004"/>
        </w:numPr>
      </w:pPr>
      <w:r>
        <w:t xml:space="preserve">Improve automation</w:t>
      </w:r>
    </w:p>
    <w:p>
      <w:pPr>
        <w:pStyle w:val="Compact"/>
        <w:numPr>
          <w:ilvl w:val="0"/>
          <w:numId w:val="1004"/>
        </w:numPr>
      </w:pPr>
      <w:r>
        <w:t xml:space="preserve">Improve validation</w:t>
      </w:r>
    </w:p>
    <w:p>
      <w:pPr>
        <w:pStyle w:val="Compact"/>
        <w:numPr>
          <w:ilvl w:val="0"/>
          <w:numId w:val="1004"/>
        </w:numPr>
      </w:pPr>
      <w:r>
        <w:t xml:space="preserve">Improve orchestration</w:t>
      </w:r>
    </w:p>
    <w:p>
      <w:pPr>
        <w:pStyle w:val="Compact"/>
        <w:numPr>
          <w:ilvl w:val="0"/>
          <w:numId w:val="1004"/>
        </w:numPr>
      </w:pPr>
      <w:r>
        <w:t xml:space="preserve">Improve repository organization</w:t>
      </w:r>
    </w:p>
    <w:p>
      <w:pPr>
        <w:pStyle w:val="Compact"/>
        <w:numPr>
          <w:ilvl w:val="0"/>
          <w:numId w:val="1004"/>
        </w:numPr>
      </w:pPr>
      <w:r>
        <w:t xml:space="preserve">Improve metadata</w:t>
      </w:r>
    </w:p>
    <w:p>
      <w:pPr>
        <w:pStyle w:val="Compact"/>
        <w:numPr>
          <w:ilvl w:val="0"/>
          <w:numId w:val="1004"/>
        </w:numPr>
      </w:pPr>
      <w:r>
        <w:t xml:space="preserve">Merge capabilities</w:t>
      </w:r>
    </w:p>
    <w:p>
      <w:pPr>
        <w:pStyle w:val="Compact"/>
        <w:numPr>
          <w:ilvl w:val="0"/>
          <w:numId w:val="1004"/>
        </w:numPr>
      </w:pPr>
      <w:r>
        <w:t xml:space="preserve">Deprecate obsolete capability</w:t>
      </w:r>
    </w:p>
    <w:p>
      <w:pPr>
        <w:pStyle w:val="Compact"/>
        <w:numPr>
          <w:ilvl w:val="0"/>
          <w:numId w:val="1004"/>
        </w:numPr>
      </w:pPr>
      <w:r>
        <w:t xml:space="preserve">Introduce new capability (last resort)</w:t>
      </w:r>
    </w:p>
    <w:p>
      <w:pPr>
        <w:pStyle w:val="FirstParagraph"/>
      </w:pPr>
      <w:r>
        <w:t xml:space="preserve">The framework should strongly prefer improving existing architecture over expanding it.</w:t>
      </w:r>
    </w:p>
    <w:p>
      <w:r>
        <w:pict>
          <v:rect style="width:0;height:1.5pt" o:hralign="center" o:hrstd="t" o:hr="t"/>
        </w:pict>
      </w:r>
    </w:p>
    <w:bookmarkEnd w:id="27"/>
    <w:bookmarkStart w:id="28" w:name="institutional-knowledge"/>
    <w:p>
      <w:pPr>
        <w:pStyle w:val="Heading1"/>
      </w:pPr>
      <w:r>
        <w:t xml:space="preserve">Institutional Knowledge</w:t>
      </w:r>
    </w:p>
    <w:p>
      <w:pPr>
        <w:pStyle w:val="FirstParagraph"/>
      </w:pPr>
      <w:r>
        <w:t xml:space="preserve">Differentiate between:</w:t>
      </w:r>
    </w:p>
    <w:p>
      <w:pPr>
        <w:pStyle w:val="Compact"/>
        <w:numPr>
          <w:ilvl w:val="0"/>
          <w:numId w:val="1005"/>
        </w:numPr>
      </w:pPr>
      <w:r>
        <w:t xml:space="preserve">temporary observations</w:t>
      </w:r>
    </w:p>
    <w:p>
      <w:pPr>
        <w:pStyle w:val="Compact"/>
        <w:numPr>
          <w:ilvl w:val="0"/>
          <w:numId w:val="1005"/>
        </w:numPr>
      </w:pPr>
      <w:r>
        <w:t xml:space="preserve">project-specific lessons</w:t>
      </w:r>
    </w:p>
    <w:p>
      <w:pPr>
        <w:pStyle w:val="Compact"/>
        <w:numPr>
          <w:ilvl w:val="0"/>
          <w:numId w:val="1005"/>
        </w:numPr>
      </w:pPr>
      <w:r>
        <w:t xml:space="preserve">reusable engineering knowledge</w:t>
      </w:r>
    </w:p>
    <w:p>
      <w:pPr>
        <w:pStyle w:val="Compact"/>
        <w:numPr>
          <w:ilvl w:val="0"/>
          <w:numId w:val="1005"/>
        </w:numPr>
      </w:pPr>
      <w:r>
        <w:t xml:space="preserve">institutional engineering knowledge</w:t>
      </w:r>
    </w:p>
    <w:p>
      <w:pPr>
        <w:pStyle w:val="FirstParagraph"/>
      </w:pPr>
      <w:r>
        <w:t xml:space="preserve">Only institutional knowledge should permanently modify the repository.</w:t>
      </w:r>
    </w:p>
    <w:p>
      <w:pPr>
        <w:pStyle w:val="BodyText"/>
      </w:pPr>
      <w:r>
        <w:t xml:space="preserve">Design objective criteria for determining this distinction.</w:t>
      </w:r>
    </w:p>
    <w:p>
      <w:r>
        <w:pict>
          <v:rect style="width:0;height:1.5pt" o:hralign="center" o:hrstd="t" o:hr="t"/>
        </w:pict>
      </w:r>
    </w:p>
    <w:bookmarkEnd w:id="28"/>
    <w:bookmarkStart w:id="29" w:name="reflection-framework"/>
    <w:p>
      <w:pPr>
        <w:pStyle w:val="Heading1"/>
      </w:pPr>
      <w:r>
        <w:t xml:space="preserve">Reflection Framework</w:t>
      </w:r>
    </w:p>
    <w:p>
      <w:pPr>
        <w:pStyle w:val="FirstParagraph"/>
      </w:pPr>
      <w:r>
        <w:t xml:space="preserve">Engineer a reusable reflection methodology.</w:t>
      </w:r>
    </w:p>
    <w:p>
      <w:pPr>
        <w:pStyle w:val="BodyText"/>
      </w:pPr>
      <w:r>
        <w:t xml:space="preserve">Reflection should evaluate questions such as:</w:t>
      </w:r>
    </w:p>
    <w:p>
      <w:pPr>
        <w:pStyle w:val="Compact"/>
        <w:numPr>
          <w:ilvl w:val="0"/>
          <w:numId w:val="1006"/>
        </w:numPr>
      </w:pPr>
      <w:r>
        <w:t xml:space="preserve">Was the engineering outcome successful?</w:t>
      </w:r>
    </w:p>
    <w:p>
      <w:pPr>
        <w:pStyle w:val="Compact"/>
        <w:numPr>
          <w:ilvl w:val="0"/>
          <w:numId w:val="1006"/>
        </w:numPr>
      </w:pPr>
      <w:r>
        <w:t xml:space="preserve">What enabled success?</w:t>
      </w:r>
    </w:p>
    <w:p>
      <w:pPr>
        <w:pStyle w:val="Compact"/>
        <w:numPr>
          <w:ilvl w:val="0"/>
          <w:numId w:val="1006"/>
        </w:numPr>
      </w:pPr>
      <w:r>
        <w:t xml:space="preserve">What inhibited success?</w:t>
      </w:r>
    </w:p>
    <w:p>
      <w:pPr>
        <w:pStyle w:val="Compact"/>
        <w:numPr>
          <w:ilvl w:val="0"/>
          <w:numId w:val="1006"/>
        </w:numPr>
      </w:pPr>
      <w:r>
        <w:t xml:space="preserve">Did the repository provide sufficient guidance?</w:t>
      </w:r>
    </w:p>
    <w:p>
      <w:pPr>
        <w:pStyle w:val="Compact"/>
        <w:numPr>
          <w:ilvl w:val="0"/>
          <w:numId w:val="1006"/>
        </w:numPr>
      </w:pPr>
      <w:r>
        <w:t xml:space="preserve">Were architectural principles followed?</w:t>
      </w:r>
    </w:p>
    <w:p>
      <w:pPr>
        <w:pStyle w:val="Compact"/>
        <w:numPr>
          <w:ilvl w:val="0"/>
          <w:numId w:val="1006"/>
        </w:numPr>
      </w:pPr>
      <w:r>
        <w:t xml:space="preserve">Did governance help?</w:t>
      </w:r>
    </w:p>
    <w:p>
      <w:pPr>
        <w:pStyle w:val="Compact"/>
        <w:numPr>
          <w:ilvl w:val="0"/>
          <w:numId w:val="1006"/>
        </w:numPr>
      </w:pPr>
      <w:r>
        <w:t xml:space="preserve">Was documentation sufficient?</w:t>
      </w:r>
    </w:p>
    <w:p>
      <w:pPr>
        <w:pStyle w:val="Compact"/>
        <w:numPr>
          <w:ilvl w:val="0"/>
          <w:numId w:val="1006"/>
        </w:numPr>
      </w:pPr>
      <w:r>
        <w:t xml:space="preserve">Did automation reduce effort?</w:t>
      </w:r>
    </w:p>
    <w:p>
      <w:pPr>
        <w:pStyle w:val="Compact"/>
        <w:numPr>
          <w:ilvl w:val="0"/>
          <w:numId w:val="1006"/>
        </w:numPr>
      </w:pPr>
      <w:r>
        <w:t xml:space="preserve">Did reasoning quality meet expectations?</w:t>
      </w:r>
    </w:p>
    <w:p>
      <w:pPr>
        <w:pStyle w:val="Compact"/>
        <w:numPr>
          <w:ilvl w:val="0"/>
          <w:numId w:val="1006"/>
        </w:numPr>
      </w:pPr>
      <w:r>
        <w:t xml:space="preserve">Would future engineering materially improve if this lesson became institutional knowledge?</w:t>
      </w:r>
    </w:p>
    <w:p>
      <w:pPr>
        <w:pStyle w:val="FirstParagraph"/>
      </w:pPr>
      <w:r>
        <w:t xml:space="preserve">Reflection should become a first-class engineering capability.</w:t>
      </w:r>
    </w:p>
    <w:p>
      <w:r>
        <w:pict>
          <v:rect style="width:0;height:1.5pt" o:hralign="center" o:hrstd="t" o:hr="t"/>
        </w:pict>
      </w:r>
    </w:p>
    <w:bookmarkEnd w:id="29"/>
    <w:bookmarkStart w:id="30" w:name="engineering-culture-preservation"/>
    <w:p>
      <w:pPr>
        <w:pStyle w:val="Heading1"/>
      </w:pPr>
      <w:r>
        <w:t xml:space="preserve">Engineering Culture Preservation</w:t>
      </w:r>
    </w:p>
    <w:p>
      <w:pPr>
        <w:pStyle w:val="FirstParagraph"/>
      </w:pPr>
      <w:r>
        <w:t xml:space="preserve">Repository evolution must preserve the engineering culture established by Version 1.0.</w:t>
      </w:r>
    </w:p>
    <w:p>
      <w:pPr>
        <w:pStyle w:val="BodyText"/>
      </w:pPr>
      <w:r>
        <w:t xml:space="preserve">Every proposed change should be evaluated against questions including:</w:t>
      </w:r>
    </w:p>
    <w:p>
      <w:pPr>
        <w:pStyle w:val="Compact"/>
        <w:numPr>
          <w:ilvl w:val="0"/>
          <w:numId w:val="1007"/>
        </w:numPr>
      </w:pPr>
      <w:r>
        <w:t xml:space="preserve">Does this improve engineering judgment?</w:t>
      </w:r>
    </w:p>
    <w:p>
      <w:pPr>
        <w:pStyle w:val="Compact"/>
        <w:numPr>
          <w:ilvl w:val="0"/>
          <w:numId w:val="1007"/>
        </w:numPr>
      </w:pPr>
      <w:r>
        <w:t xml:space="preserve">Does this reduce entropy?</w:t>
      </w:r>
    </w:p>
    <w:p>
      <w:pPr>
        <w:pStyle w:val="Compact"/>
        <w:numPr>
          <w:ilvl w:val="0"/>
          <w:numId w:val="1007"/>
        </w:numPr>
      </w:pPr>
      <w:r>
        <w:t xml:space="preserve">Does this improve maintainability?</w:t>
      </w:r>
    </w:p>
    <w:p>
      <w:pPr>
        <w:pStyle w:val="Compact"/>
        <w:numPr>
          <w:ilvl w:val="0"/>
          <w:numId w:val="1007"/>
        </w:numPr>
      </w:pPr>
      <w:r>
        <w:t xml:space="preserve">Does this improve convergence?</w:t>
      </w:r>
    </w:p>
    <w:p>
      <w:pPr>
        <w:pStyle w:val="Compact"/>
        <w:numPr>
          <w:ilvl w:val="0"/>
          <w:numId w:val="1007"/>
        </w:numPr>
      </w:pPr>
      <w:r>
        <w:t xml:space="preserve">Does this strengthen architectural consistency?</w:t>
      </w:r>
    </w:p>
    <w:p>
      <w:pPr>
        <w:pStyle w:val="Compact"/>
        <w:numPr>
          <w:ilvl w:val="0"/>
          <w:numId w:val="1007"/>
        </w:numPr>
      </w:pPr>
      <w:r>
        <w:t xml:space="preserve">Does this preserve simplicity?</w:t>
      </w:r>
    </w:p>
    <w:p>
      <w:pPr>
        <w:pStyle w:val="Compact"/>
        <w:numPr>
          <w:ilvl w:val="0"/>
          <w:numId w:val="1007"/>
        </w:numPr>
      </w:pPr>
      <w:r>
        <w:t xml:space="preserve">Does this increase long-term engineering value?</w:t>
      </w:r>
    </w:p>
    <w:p>
      <w:pPr>
        <w:pStyle w:val="FirstParagraph"/>
      </w:pPr>
      <w:r>
        <w:t xml:space="preserve">Reject changes that solve isolated problems while weakening the platform.</w:t>
      </w:r>
    </w:p>
    <w:p>
      <w:r>
        <w:pict>
          <v:rect style="width:0;height:1.5pt" o:hralign="center" o:hrstd="t" o:hr="t"/>
        </w:pict>
      </w:r>
    </w:p>
    <w:bookmarkEnd w:id="30"/>
    <w:bookmarkStart w:id="31" w:name="repository-convergence"/>
    <w:p>
      <w:pPr>
        <w:pStyle w:val="Heading1"/>
      </w:pPr>
      <w:r>
        <w:t xml:space="preserve">Repository Convergence</w:t>
      </w:r>
    </w:p>
    <w:p>
      <w:pPr>
        <w:pStyle w:val="FirstParagraph"/>
      </w:pPr>
      <w:r>
        <w:t xml:space="preserve">The learning lifecycle must actively resist repository drift.</w:t>
      </w:r>
    </w:p>
    <w:p>
      <w:pPr>
        <w:pStyle w:val="BodyText"/>
      </w:pPr>
      <w:r>
        <w:t xml:space="preserve">Design mechanisms capable of preventing:</w:t>
      </w:r>
    </w:p>
    <w:p>
      <w:pPr>
        <w:pStyle w:val="Compact"/>
        <w:numPr>
          <w:ilvl w:val="0"/>
          <w:numId w:val="1008"/>
        </w:numPr>
      </w:pPr>
      <w:r>
        <w:t xml:space="preserve">capability inflation</w:t>
      </w:r>
    </w:p>
    <w:p>
      <w:pPr>
        <w:pStyle w:val="Compact"/>
        <w:numPr>
          <w:ilvl w:val="0"/>
          <w:numId w:val="1008"/>
        </w:numPr>
      </w:pPr>
      <w:r>
        <w:t xml:space="preserve">unnecessary specialization</w:t>
      </w:r>
    </w:p>
    <w:p>
      <w:pPr>
        <w:pStyle w:val="Compact"/>
        <w:numPr>
          <w:ilvl w:val="0"/>
          <w:numId w:val="1008"/>
        </w:numPr>
      </w:pPr>
      <w:r>
        <w:t xml:space="preserve">duplicated knowledge</w:t>
      </w:r>
    </w:p>
    <w:p>
      <w:pPr>
        <w:pStyle w:val="Compact"/>
        <w:numPr>
          <w:ilvl w:val="0"/>
          <w:numId w:val="1008"/>
        </w:numPr>
      </w:pPr>
      <w:r>
        <w:t xml:space="preserve">documentation divergence</w:t>
      </w:r>
    </w:p>
    <w:p>
      <w:pPr>
        <w:pStyle w:val="Compact"/>
        <w:numPr>
          <w:ilvl w:val="0"/>
          <w:numId w:val="1008"/>
        </w:numPr>
      </w:pPr>
      <w:r>
        <w:t xml:space="preserve">governance inconsistency</w:t>
      </w:r>
    </w:p>
    <w:p>
      <w:pPr>
        <w:pStyle w:val="Compact"/>
        <w:numPr>
          <w:ilvl w:val="0"/>
          <w:numId w:val="1008"/>
        </w:numPr>
      </w:pPr>
      <w:r>
        <w:t xml:space="preserve">architectural fragmentation</w:t>
      </w:r>
    </w:p>
    <w:p>
      <w:pPr>
        <w:pStyle w:val="Compact"/>
        <w:numPr>
          <w:ilvl w:val="0"/>
          <w:numId w:val="1008"/>
        </w:numPr>
      </w:pPr>
      <w:r>
        <w:t xml:space="preserve">cognitive overload</w:t>
      </w:r>
    </w:p>
    <w:p>
      <w:pPr>
        <w:pStyle w:val="FirstParagraph"/>
      </w:pPr>
      <w:r>
        <w:t xml:space="preserve">Learning should naturally increase repository coherence.</w:t>
      </w:r>
    </w:p>
    <w:p>
      <w:r>
        <w:pict>
          <v:rect style="width:0;height:1.5pt" o:hralign="center" o:hrstd="t" o:hr="t"/>
        </w:pict>
      </w:r>
    </w:p>
    <w:bookmarkEnd w:id="31"/>
    <w:bookmarkStart w:id="32" w:name="deliverables"/>
    <w:p>
      <w:pPr>
        <w:pStyle w:val="Heading1"/>
      </w:pPr>
      <w:r>
        <w:t xml:space="preserve">Deliverables</w:t>
      </w:r>
    </w:p>
    <w:p>
      <w:pPr>
        <w:pStyle w:val="FirstParagraph"/>
      </w:pPr>
      <w:r>
        <w:t xml:space="preserve">Produce a complete Engineering Learning Lifecycle.</w:t>
      </w:r>
    </w:p>
    <w:p>
      <w:pPr>
        <w:pStyle w:val="BodyText"/>
      </w:pPr>
      <w:r>
        <w:t xml:space="preserve">This should include, at minimum:</w:t>
      </w:r>
    </w:p>
    <w:p>
      <w:pPr>
        <w:pStyle w:val="Compact"/>
        <w:numPr>
          <w:ilvl w:val="0"/>
          <w:numId w:val="1009"/>
        </w:numPr>
      </w:pPr>
      <w:r>
        <w:t xml:space="preserve">Architectural Overview</w:t>
      </w:r>
    </w:p>
    <w:p>
      <w:pPr>
        <w:pStyle w:val="Compact"/>
        <w:numPr>
          <w:ilvl w:val="0"/>
          <w:numId w:val="1009"/>
        </w:numPr>
      </w:pPr>
      <w:r>
        <w:t xml:space="preserve">Learning Philosophy</w:t>
      </w:r>
    </w:p>
    <w:p>
      <w:pPr>
        <w:pStyle w:val="Compact"/>
        <w:numPr>
          <w:ilvl w:val="0"/>
          <w:numId w:val="1009"/>
        </w:numPr>
      </w:pPr>
      <w:r>
        <w:t xml:space="preserve">Lifecycle Stages</w:t>
      </w:r>
    </w:p>
    <w:p>
      <w:pPr>
        <w:pStyle w:val="Compact"/>
        <w:numPr>
          <w:ilvl w:val="0"/>
          <w:numId w:val="1009"/>
        </w:numPr>
      </w:pPr>
      <w:r>
        <w:t xml:space="preserve">Decision Framework</w:t>
      </w:r>
    </w:p>
    <w:p>
      <w:pPr>
        <w:pStyle w:val="Compact"/>
        <w:numPr>
          <w:ilvl w:val="0"/>
          <w:numId w:val="1009"/>
        </w:numPr>
      </w:pPr>
      <w:r>
        <w:t xml:space="preserve">Evidence Model</w:t>
      </w:r>
    </w:p>
    <w:p>
      <w:pPr>
        <w:pStyle w:val="Compact"/>
        <w:numPr>
          <w:ilvl w:val="0"/>
          <w:numId w:val="1009"/>
        </w:numPr>
      </w:pPr>
      <w:r>
        <w:t xml:space="preserve">Reflection Model</w:t>
      </w:r>
    </w:p>
    <w:p>
      <w:pPr>
        <w:pStyle w:val="Compact"/>
        <w:numPr>
          <w:ilvl w:val="0"/>
          <w:numId w:val="1009"/>
        </w:numPr>
      </w:pPr>
      <w:r>
        <w:t xml:space="preserve">Institutionalization Criteria</w:t>
      </w:r>
    </w:p>
    <w:p>
      <w:pPr>
        <w:pStyle w:val="Compact"/>
        <w:numPr>
          <w:ilvl w:val="0"/>
          <w:numId w:val="1009"/>
        </w:numPr>
      </w:pPr>
      <w:r>
        <w:t xml:space="preserve">Repository Evolution Workflow</w:t>
      </w:r>
    </w:p>
    <w:p>
      <w:pPr>
        <w:pStyle w:val="Compact"/>
        <w:numPr>
          <w:ilvl w:val="0"/>
          <w:numId w:val="1009"/>
        </w:numPr>
      </w:pPr>
      <w:r>
        <w:t xml:space="preserve">Governance Integration</w:t>
      </w:r>
    </w:p>
    <w:p>
      <w:pPr>
        <w:pStyle w:val="Compact"/>
        <w:numPr>
          <w:ilvl w:val="0"/>
          <w:numId w:val="1009"/>
        </w:numPr>
      </w:pPr>
      <w:r>
        <w:t xml:space="preserve">Documentation Integration</w:t>
      </w:r>
    </w:p>
    <w:p>
      <w:pPr>
        <w:pStyle w:val="Compact"/>
        <w:numPr>
          <w:ilvl w:val="0"/>
          <w:numId w:val="1009"/>
        </w:numPr>
      </w:pPr>
      <w:r>
        <w:t xml:space="preserve">Automation Integration</w:t>
      </w:r>
    </w:p>
    <w:p>
      <w:pPr>
        <w:pStyle w:val="Compact"/>
        <w:numPr>
          <w:ilvl w:val="0"/>
          <w:numId w:val="1009"/>
        </w:numPr>
      </w:pPr>
      <w:r>
        <w:t xml:space="preserve">Convergence Controls</w:t>
      </w:r>
    </w:p>
    <w:p>
      <w:pPr>
        <w:pStyle w:val="Compact"/>
        <w:numPr>
          <w:ilvl w:val="0"/>
          <w:numId w:val="1009"/>
        </w:numPr>
      </w:pPr>
      <w:r>
        <w:t xml:space="preserve">Risk Analysis</w:t>
      </w:r>
    </w:p>
    <w:p>
      <w:pPr>
        <w:pStyle w:val="Compact"/>
        <w:numPr>
          <w:ilvl w:val="0"/>
          <w:numId w:val="1009"/>
        </w:numPr>
      </w:pPr>
      <w:r>
        <w:t xml:space="preserve">Operational Guidelines</w:t>
      </w:r>
    </w:p>
    <w:p>
      <w:pPr>
        <w:pStyle w:val="FirstParagraph"/>
      </w:pPr>
      <w:r>
        <w:t xml:space="preserve">Integrate the lifecycle into the existing Engineering Intelligence Platform so that it becomes part of the platform’s permanent operating model.</w:t>
      </w:r>
    </w:p>
    <w:p>
      <w:r>
        <w:pict>
          <v:rect style="width:0;height:1.5pt" o:hralign="center" o:hrstd="t" o:hr="t"/>
        </w:pict>
      </w:r>
    </w:p>
    <w:bookmarkEnd w:id="32"/>
    <w:bookmarkStart w:id="33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The implementation will be considered successful when:</w:t>
      </w:r>
    </w:p>
    <w:p>
      <w:pPr>
        <w:pStyle w:val="Compact"/>
        <w:numPr>
          <w:ilvl w:val="0"/>
          <w:numId w:val="1010"/>
        </w:numPr>
      </w:pPr>
      <w:r>
        <w:t xml:space="preserve">Hermes continuously improves through validated engineering experience.</w:t>
      </w:r>
    </w:p>
    <w:p>
      <w:pPr>
        <w:pStyle w:val="Compact"/>
        <w:numPr>
          <w:ilvl w:val="0"/>
          <w:numId w:val="1010"/>
        </w:numPr>
      </w:pPr>
      <w:r>
        <w:t xml:space="preserve">Repository evolution becomes deliberate rather than reactive.</w:t>
      </w:r>
    </w:p>
    <w:p>
      <w:pPr>
        <w:pStyle w:val="Compact"/>
        <w:numPr>
          <w:ilvl w:val="0"/>
          <w:numId w:val="1010"/>
        </w:numPr>
      </w:pPr>
      <w:r>
        <w:t xml:space="preserve">Repository stability increases over time.</w:t>
      </w:r>
    </w:p>
    <w:p>
      <w:pPr>
        <w:pStyle w:val="Compact"/>
        <w:numPr>
          <w:ilvl w:val="0"/>
          <w:numId w:val="1010"/>
        </w:numPr>
      </w:pPr>
      <w:r>
        <w:t xml:space="preserve">Engineering judgment improves across successive projects.</w:t>
      </w:r>
    </w:p>
    <w:p>
      <w:pPr>
        <w:pStyle w:val="Compact"/>
        <w:numPr>
          <w:ilvl w:val="0"/>
          <w:numId w:val="1010"/>
        </w:numPr>
      </w:pPr>
      <w:r>
        <w:t xml:space="preserve">Architectural quality continuously improves.</w:t>
      </w:r>
    </w:p>
    <w:p>
      <w:pPr>
        <w:pStyle w:val="Compact"/>
        <w:numPr>
          <w:ilvl w:val="0"/>
          <w:numId w:val="1010"/>
        </w:numPr>
      </w:pPr>
      <w:r>
        <w:t xml:space="preserve">Institutional knowledge becomes increasingly valuable.</w:t>
      </w:r>
    </w:p>
    <w:p>
      <w:pPr>
        <w:pStyle w:val="Compact"/>
        <w:numPr>
          <w:ilvl w:val="0"/>
          <w:numId w:val="1010"/>
        </w:numPr>
      </w:pPr>
      <w:r>
        <w:t xml:space="preserve">The platform learns without accumulating unnecessary complexity.</w:t>
      </w:r>
    </w:p>
    <w:p>
      <w:r>
        <w:pict>
          <v:rect style="width:0;height:1.5pt" o:hralign="center" o:hrstd="t" o:hr="t"/>
        </w:pict>
      </w:r>
    </w:p>
    <w:bookmarkEnd w:id="33"/>
    <w:bookmarkStart w:id="34" w:name="final-architectural-law"/>
    <w:p>
      <w:pPr>
        <w:pStyle w:val="Heading1"/>
      </w:pPr>
      <w:r>
        <w:t xml:space="preserve">Final Architectural Law</w:t>
      </w:r>
    </w:p>
    <w:p>
      <w:pPr>
        <w:pStyle w:val="FirstParagraph"/>
      </w:pPr>
      <w:r>
        <w:t xml:space="preserve">The repository is no longer a knowledge repository.</w:t>
      </w:r>
    </w:p>
    <w:p>
      <w:pPr>
        <w:pStyle w:val="BodyText"/>
      </w:pPr>
      <w:r>
        <w:t xml:space="preserve">It is the institutional engineering memory of the Engineering Intelligence Platform.</w:t>
      </w:r>
    </w:p>
    <w:p>
      <w:pPr>
        <w:pStyle w:val="BodyText"/>
      </w:pPr>
      <w:r>
        <w:t xml:space="preserve">Treat every modification as though it permanently changes how future engineers will think.</w:t>
      </w:r>
    </w:p>
    <w:p>
      <w:pPr>
        <w:pStyle w:val="BodyText"/>
      </w:pPr>
      <w:r>
        <w:t xml:space="preserve">Protect that responsibility with discipline.</w:t>
      </w:r>
    </w:p>
    <w:p>
      <w:pPr>
        <w:pStyle w:val="BodyText"/>
      </w:pPr>
      <w:r>
        <w:t xml:space="preserve">Every accepted repository evolution must produce engineering value that clearly exceeds its architectural cost.</w:t>
      </w:r>
    </w:p>
    <w:p>
      <w:pPr>
        <w:pStyle w:val="BodyText"/>
      </w:pPr>
      <w:r>
        <w:t xml:space="preserve">The highest form of learning is not changing often.</w:t>
      </w:r>
    </w:p>
    <w:p>
      <w:pPr>
        <w:pStyle w:val="BodyText"/>
      </w:pPr>
      <w:r>
        <w:t xml:space="preserve">It is knowing precisely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change is justified.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2026-07-09T19:28:59Z</dcterms:created>
  <dcterms:modified xsi:type="dcterms:W3CDTF">2026-07-09T19:28:59Z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