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57FA28" w14:textId="5B52688D" w:rsidR="009B7BD0" w:rsidRDefault="009B7BD0" w:rsidP="009B7BD0">
      <w:r>
        <w:rPr>
          <w:rFonts w:hint="eastAsia"/>
        </w:rPr>
        <w:t>1.</w:t>
      </w:r>
      <w:r w:rsidRPr="009B7BD0">
        <w:rPr>
          <w:rFonts w:hint="eastAsia"/>
        </w:rPr>
        <w:t xml:space="preserve"> </w:t>
      </w:r>
      <w:r>
        <w:rPr>
          <w:rFonts w:hint="eastAsia"/>
        </w:rPr>
        <w:t>因子分析</w:t>
      </w:r>
    </w:p>
    <w:p w14:paraId="3C96C9AF" w14:textId="2E414207" w:rsidR="001431F7" w:rsidRDefault="009B7BD0" w:rsidP="009B7BD0">
      <w:r>
        <w:rPr>
          <w:rFonts w:hint="eastAsia"/>
        </w:rPr>
        <w:t>因子分析是一种常用的统计分析方法，用于探究多个变量之间的关系，识别其中存在的共性因素，并将它们组合成更少的维度（因子）来解释变量变异。</w:t>
      </w:r>
    </w:p>
    <w:p w14:paraId="5A65A544" w14:textId="202A610B" w:rsidR="009B7BD0" w:rsidRDefault="009B7BD0" w:rsidP="009B7BD0">
      <w:r>
        <w:rPr>
          <w:rFonts w:hint="eastAsia"/>
        </w:rPr>
        <w:t>因子分析和主成分分析都是用于数据降维的方法，它们有一定的相似性，但是它们的目标和实现方式不同。</w:t>
      </w:r>
    </w:p>
    <w:p w14:paraId="7DCF92D6" w14:textId="7CCD5D80" w:rsidR="009B7BD0" w:rsidRDefault="009B7BD0" w:rsidP="009B7BD0">
      <w:r>
        <w:rPr>
          <w:rFonts w:hint="eastAsia"/>
        </w:rPr>
        <w:t>主成分分析是线性变换方法，主要目标是将高维度数据降维到低维度空间，并尽量保留原始数据信息，即通过找到能解释数据方差最多的几个主成分来代表原始数据。通常适用于数值型数据，能识别出变量之间的线性关系，但无法处理非线性关系。</w:t>
      </w:r>
    </w:p>
    <w:p w14:paraId="3BF824A3" w14:textId="2B28DBC4" w:rsidR="009B7BD0" w:rsidRDefault="009B7BD0" w:rsidP="009B7BD0">
      <w:r>
        <w:rPr>
          <w:rFonts w:hint="eastAsia"/>
        </w:rPr>
        <w:t>因子分析更侧重于探究多个变量之间的共性因素，以便更好地理解变量之间的关系</w:t>
      </w:r>
      <w:r w:rsidR="0002558A">
        <w:rPr>
          <w:rFonts w:hint="eastAsia"/>
        </w:rPr>
        <w:t>，</w:t>
      </w:r>
      <w:r>
        <w:rPr>
          <w:rFonts w:hint="eastAsia"/>
        </w:rPr>
        <w:t>更好地解释原始数据，但无法保留所有原始数据信息。</w:t>
      </w:r>
    </w:p>
    <w:p w14:paraId="2D0F07DA" w14:textId="0AB0378A" w:rsidR="001A4661" w:rsidRDefault="001A4661" w:rsidP="009B7BD0">
      <w:r>
        <w:rPr>
          <w:rFonts w:hint="eastAsia"/>
        </w:rPr>
        <w:t>（1）基本原理：</w:t>
      </w:r>
    </w:p>
    <w:p w14:paraId="7124D864" w14:textId="52F83BA0" w:rsidR="001A4661" w:rsidRDefault="001A4661" w:rsidP="009B7BD0">
      <w:r w:rsidRPr="001A4661">
        <w:rPr>
          <w:noProof/>
        </w:rPr>
        <w:drawing>
          <wp:inline distT="0" distB="0" distL="0" distR="0" wp14:anchorId="18145BB1" wp14:editId="7D85FB1E">
            <wp:extent cx="5274310" cy="2922905"/>
            <wp:effectExtent l="0" t="0" r="2540" b="0"/>
            <wp:docPr id="7529499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4993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F556" w14:textId="5173EFDF" w:rsidR="001A4661" w:rsidRDefault="001A4661" w:rsidP="009B7BD0">
      <w:r>
        <w:rPr>
          <w:rFonts w:hint="eastAsia"/>
        </w:rPr>
        <w:t>（2）模型假设：</w:t>
      </w:r>
    </w:p>
    <w:p w14:paraId="38149AC5" w14:textId="69183BB5" w:rsidR="001A4661" w:rsidRDefault="001A4661" w:rsidP="009B7BD0">
      <w:r w:rsidRPr="001A4661">
        <w:rPr>
          <w:noProof/>
        </w:rPr>
        <w:drawing>
          <wp:inline distT="0" distB="0" distL="0" distR="0" wp14:anchorId="61B76C30" wp14:editId="0F4E3C82">
            <wp:extent cx="5274310" cy="3075305"/>
            <wp:effectExtent l="0" t="0" r="2540" b="0"/>
            <wp:docPr id="240333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3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A660" w14:textId="54FE23AC" w:rsidR="001A4661" w:rsidRDefault="001A4661" w:rsidP="009B7BD0">
      <w:r>
        <w:rPr>
          <w:rFonts w:hint="eastAsia"/>
        </w:rPr>
        <w:t>（3）</w:t>
      </w:r>
      <w:r w:rsidR="00034094">
        <w:rPr>
          <w:rFonts w:hint="eastAsia"/>
        </w:rPr>
        <w:t>对比主成分分析：</w:t>
      </w:r>
    </w:p>
    <w:p w14:paraId="36F20C54" w14:textId="040E0E8A" w:rsidR="00034094" w:rsidRDefault="00034094" w:rsidP="00034094">
      <w:r>
        <w:rPr>
          <w:rFonts w:hint="eastAsia"/>
        </w:rPr>
        <w:lastRenderedPageBreak/>
        <w:t>1.</w:t>
      </w:r>
      <w:r>
        <w:t>主成分分析只是简单的数值计算，不需要构造一个模型，几乎没什么假定;而因子分析需要构造一个因子模型，并伴随几个关键性的假定。</w:t>
      </w:r>
    </w:p>
    <w:p w14:paraId="2E19479E" w14:textId="6A37C24B" w:rsidR="00034094" w:rsidRDefault="00034094" w:rsidP="00034094">
      <w:r>
        <w:rPr>
          <w:rFonts w:hint="eastAsia"/>
        </w:rPr>
        <w:t>2.</w:t>
      </w:r>
      <w:r>
        <w:t>主成分的解是唯一的，而因子可有许多解。</w:t>
      </w:r>
      <w:r w:rsidRPr="00034094">
        <w:rPr>
          <w:rFonts w:hint="eastAsia"/>
        </w:rPr>
        <w:t>因子载荷矩阵</w:t>
      </w:r>
      <w:r w:rsidRPr="00034094">
        <w:t xml:space="preserve">A </w:t>
      </w:r>
      <w:r w:rsidRPr="00034094">
        <w:rPr>
          <w:rFonts w:hint="eastAsia"/>
        </w:rPr>
        <w:t>不是唯一的，k可据此通 过因子变换，使新的因子具有更容易解释的实际意义，因此</w:t>
      </w:r>
      <w:r>
        <w:t>因子解释成功的可能性要远大于主成分解释成功的可能性</w:t>
      </w:r>
      <w:r>
        <w:rPr>
          <w:rFonts w:hint="eastAsia"/>
        </w:rPr>
        <w:t>。</w:t>
      </w:r>
    </w:p>
    <w:p w14:paraId="0E5061FA" w14:textId="73D2B6ED" w:rsidR="001A4661" w:rsidRDefault="001A4661" w:rsidP="001A4661">
      <w:pPr>
        <w:jc w:val="center"/>
      </w:pPr>
    </w:p>
    <w:p w14:paraId="2E67ADA3" w14:textId="77777777" w:rsidR="0002558A" w:rsidRDefault="0002558A" w:rsidP="009B7BD0"/>
    <w:p w14:paraId="0AE7E5EB" w14:textId="5CBFA3C2" w:rsidR="0002558A" w:rsidRDefault="0002558A" w:rsidP="009B7BD0">
      <w:r>
        <w:rPr>
          <w:rFonts w:hint="eastAsia"/>
        </w:rPr>
        <w:t>2.数据处理</w:t>
      </w:r>
    </w:p>
    <w:p w14:paraId="1E3ABFD0" w14:textId="393D52FC" w:rsidR="0002558A" w:rsidRDefault="0002558A" w:rsidP="009B7BD0">
      <w:r>
        <w:rPr>
          <w:rFonts w:hint="eastAsia"/>
        </w:rPr>
        <w:t>（1）剔除常数列</w:t>
      </w:r>
      <w:r w:rsidRPr="0002558A">
        <w:t>Net Income Flag</w:t>
      </w:r>
      <w:r>
        <w:rPr>
          <w:rFonts w:hint="eastAsia"/>
        </w:rPr>
        <w:t>：防止KMO检验、球状检验出现无效数据</w:t>
      </w:r>
    </w:p>
    <w:p w14:paraId="35E2D791" w14:textId="1A7BFCEF" w:rsidR="0002558A" w:rsidRDefault="0002558A" w:rsidP="009B7BD0">
      <w:r>
        <w:rPr>
          <w:rFonts w:hint="eastAsia"/>
        </w:rPr>
        <w:t>（2）标准化</w:t>
      </w:r>
    </w:p>
    <w:p w14:paraId="0B2D63B0" w14:textId="46C7D12D" w:rsidR="0002558A" w:rsidRDefault="0002558A" w:rsidP="0002558A">
      <w:pPr>
        <w:jc w:val="center"/>
      </w:pPr>
      <w:r w:rsidRPr="0002558A">
        <w:rPr>
          <w:noProof/>
        </w:rPr>
        <w:drawing>
          <wp:inline distT="0" distB="0" distL="0" distR="0" wp14:anchorId="7AB08050" wp14:editId="60377C84">
            <wp:extent cx="1667108" cy="809738"/>
            <wp:effectExtent l="0" t="0" r="9525" b="9525"/>
            <wp:docPr id="656395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959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D83A" w14:textId="6E6D9BEB" w:rsidR="0002558A" w:rsidRDefault="0002558A" w:rsidP="0002558A">
      <w:pPr>
        <w:jc w:val="center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其中</w:t>
      </w:r>
      <w:r>
        <w:rPr>
          <w:rStyle w:val="mord"/>
          <w:rFonts w:ascii="KaTeX_Math" w:hAnsi="KaTeX_Math" w:cs="Times New Roman"/>
          <w:i/>
          <w:iCs/>
          <w:color w:val="333333"/>
          <w:sz w:val="29"/>
          <w:szCs w:val="29"/>
          <w:shd w:val="clear" w:color="auto" w:fill="FFFFFF"/>
        </w:rPr>
        <w:t>Z</w:t>
      </w:r>
      <w:r>
        <w:rPr>
          <w:rStyle w:val="mord"/>
          <w:rFonts w:ascii="KaTeX_Math" w:hAnsi="KaTeX_Math" w:cs="Times New Roman"/>
          <w:i/>
          <w:iCs/>
          <w:color w:val="333333"/>
          <w:sz w:val="20"/>
          <w:szCs w:val="20"/>
          <w:shd w:val="clear" w:color="auto" w:fill="FFFFFF"/>
        </w:rPr>
        <w:t>i</w:t>
      </w:r>
      <w:r>
        <w:rPr>
          <w:rStyle w:val="vlist-s"/>
          <w:rFonts w:ascii="Times New Roman" w:hAnsi="Times New Roman" w:cs="Times New Roman"/>
          <w:color w:val="333333"/>
          <w:sz w:val="2"/>
          <w:szCs w:val="2"/>
          <w:shd w:val="clear" w:color="auto" w:fill="FFFFFF"/>
        </w:rPr>
        <w:t>​</w:t>
      </w:r>
      <w:r>
        <w:rPr>
          <w:rFonts w:ascii="Arial" w:hAnsi="Arial" w:cs="Arial"/>
          <w:color w:val="333333"/>
          <w:szCs w:val="21"/>
          <w:shd w:val="clear" w:color="auto" w:fill="FFFFFF"/>
        </w:rPr>
        <w:t>是标准化后的指标值，</w:t>
      </w:r>
      <w:r>
        <w:rPr>
          <w:rStyle w:val="mord"/>
          <w:rFonts w:ascii="KaTeX_Math" w:hAnsi="KaTeX_Math" w:cs="Times New Roman"/>
          <w:i/>
          <w:iCs/>
          <w:color w:val="333333"/>
          <w:sz w:val="29"/>
          <w:szCs w:val="29"/>
          <w:shd w:val="clear" w:color="auto" w:fill="FFFFFF"/>
        </w:rPr>
        <w:t>X</w:t>
      </w:r>
      <w:r>
        <w:rPr>
          <w:rStyle w:val="mord"/>
          <w:rFonts w:ascii="KaTeX_Math" w:hAnsi="KaTeX_Math" w:cs="Times New Roman"/>
          <w:i/>
          <w:iCs/>
          <w:color w:val="333333"/>
          <w:sz w:val="20"/>
          <w:szCs w:val="20"/>
          <w:shd w:val="clear" w:color="auto" w:fill="FFFFFF"/>
        </w:rPr>
        <w:t>i</w:t>
      </w:r>
      <w:r>
        <w:rPr>
          <w:rStyle w:val="vlist-s"/>
          <w:rFonts w:ascii="Times New Roman" w:hAnsi="Times New Roman" w:cs="Times New Roman"/>
          <w:color w:val="333333"/>
          <w:sz w:val="2"/>
          <w:szCs w:val="2"/>
          <w:shd w:val="clear" w:color="auto" w:fill="FFFFFF"/>
        </w:rPr>
        <w:t>​</w:t>
      </w:r>
      <w:r>
        <w:rPr>
          <w:rFonts w:ascii="Arial" w:hAnsi="Arial" w:cs="Arial"/>
          <w:color w:val="333333"/>
          <w:szCs w:val="21"/>
          <w:shd w:val="clear" w:color="auto" w:fill="FFFFFF"/>
        </w:rPr>
        <w:t>为原始数据，</w:t>
      </w:r>
      <w:r>
        <w:rPr>
          <w:rStyle w:val="mord"/>
          <w:rFonts w:ascii="KaTeX_Math" w:hAnsi="KaTeX_Math" w:cs="Times New Roman"/>
          <w:i/>
          <w:iCs/>
          <w:color w:val="333333"/>
          <w:sz w:val="29"/>
          <w:szCs w:val="29"/>
          <w:shd w:val="clear" w:color="auto" w:fill="FFFFFF"/>
        </w:rPr>
        <w:t>X</w:t>
      </w:r>
      <w:r>
        <w:rPr>
          <w:rStyle w:val="mord"/>
          <w:rFonts w:ascii="Times New Roman" w:hAnsi="Times New Roman" w:cs="Times New Roman"/>
          <w:color w:val="333333"/>
          <w:sz w:val="29"/>
          <w:szCs w:val="29"/>
          <w:shd w:val="clear" w:color="auto" w:fill="FFFFFF"/>
        </w:rPr>
        <w:t>ˉ</w:t>
      </w:r>
      <w:r>
        <w:rPr>
          <w:rFonts w:ascii="Arial" w:hAnsi="Arial" w:cs="Arial"/>
          <w:color w:val="333333"/>
          <w:szCs w:val="21"/>
          <w:shd w:val="clear" w:color="auto" w:fill="FFFFFF"/>
        </w:rPr>
        <w:t>为原始数据样本均值，</w:t>
      </w:r>
      <w:r>
        <w:rPr>
          <w:rStyle w:val="mord"/>
          <w:rFonts w:ascii="KaTeX_Math" w:hAnsi="KaTeX_Math" w:cs="Times New Roman"/>
          <w:i/>
          <w:iCs/>
          <w:color w:val="333333"/>
          <w:sz w:val="29"/>
          <w:szCs w:val="29"/>
          <w:shd w:val="clear" w:color="auto" w:fill="FFFFFF"/>
        </w:rPr>
        <w:t>σ</w:t>
      </w:r>
      <w:r>
        <w:rPr>
          <w:rFonts w:ascii="Arial" w:hAnsi="Arial" w:cs="Arial"/>
          <w:color w:val="333333"/>
          <w:szCs w:val="21"/>
          <w:shd w:val="clear" w:color="auto" w:fill="FFFFFF"/>
        </w:rPr>
        <w:t>为方差。用于将原始数据转换为均值为</w:t>
      </w:r>
      <w:r>
        <w:rPr>
          <w:rFonts w:ascii="Arial" w:hAnsi="Arial" w:cs="Arial"/>
          <w:color w:val="333333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Cs w:val="21"/>
          <w:shd w:val="clear" w:color="auto" w:fill="FFFFFF"/>
        </w:rPr>
        <w:t>、标准差为</w:t>
      </w:r>
      <w:r>
        <w:rPr>
          <w:rFonts w:ascii="Arial" w:hAnsi="Arial" w:cs="Arial"/>
          <w:color w:val="333333"/>
          <w:szCs w:val="21"/>
          <w:shd w:val="clear" w:color="auto" w:fill="FFFFFF"/>
        </w:rPr>
        <w:t>1</w:t>
      </w:r>
      <w:r>
        <w:rPr>
          <w:rFonts w:ascii="Arial" w:hAnsi="Arial" w:cs="Arial"/>
          <w:color w:val="333333"/>
          <w:szCs w:val="21"/>
          <w:shd w:val="clear" w:color="auto" w:fill="FFFFFF"/>
        </w:rPr>
        <w:t>的数据，使得不同量纲的指标能够在因子分析中统一处理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</w:t>
      </w:r>
    </w:p>
    <w:p w14:paraId="672C3449" w14:textId="4F224B40" w:rsidR="0002558A" w:rsidRDefault="0002558A" w:rsidP="0002558A">
      <w:r w:rsidRPr="0002558A">
        <w:rPr>
          <w:rFonts w:hint="eastAsia"/>
        </w:rPr>
        <w:t>标准化处理</w:t>
      </w:r>
      <w:r>
        <w:rPr>
          <w:rFonts w:hint="eastAsia"/>
        </w:rPr>
        <w:t>有利于</w:t>
      </w:r>
      <w:r w:rsidRPr="0002558A">
        <w:rPr>
          <w:rFonts w:hint="eastAsia"/>
        </w:rPr>
        <w:t>理解因子载荷和因子得分。因子分析中，因子载荷表示原始变量与公共因子的相关性，因子得分是根据因子载荷计算得出的每个样本在公共因子上的得分。通过标准化处理可以得到更稳定和可比较的因子载荷和因子得分，从而更好地解释和分析结果。</w:t>
      </w:r>
    </w:p>
    <w:p w14:paraId="736A9431" w14:textId="748C23FF" w:rsidR="00DF076D" w:rsidRDefault="00DF076D" w:rsidP="0002558A">
      <w:r>
        <w:rPr>
          <w:rFonts w:hint="eastAsia"/>
        </w:rPr>
        <w:t>（3）无缺失值，异常值</w:t>
      </w:r>
    </w:p>
    <w:p w14:paraId="2F6312DD" w14:textId="77777777" w:rsidR="0002558A" w:rsidRDefault="0002558A" w:rsidP="0002558A"/>
    <w:p w14:paraId="14CA55BF" w14:textId="2B5711B8" w:rsidR="0002558A" w:rsidRDefault="0002558A" w:rsidP="0002558A">
      <w:r>
        <w:rPr>
          <w:rFonts w:hint="eastAsia"/>
        </w:rPr>
        <w:t>3.计算相关矩阵，热力图</w:t>
      </w:r>
    </w:p>
    <w:p w14:paraId="7426FE81" w14:textId="06D209BC" w:rsidR="0002558A" w:rsidRDefault="0002558A" w:rsidP="0002558A">
      <w:r w:rsidRPr="0002558A">
        <w:rPr>
          <w:noProof/>
        </w:rPr>
        <w:lastRenderedPageBreak/>
        <w:drawing>
          <wp:inline distT="0" distB="0" distL="0" distR="0" wp14:anchorId="42CC212D" wp14:editId="19619CA3">
            <wp:extent cx="5274310" cy="5336540"/>
            <wp:effectExtent l="0" t="0" r="2540" b="0"/>
            <wp:docPr id="770974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7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A56C" w14:textId="2F808833" w:rsidR="00DF076D" w:rsidRDefault="00DF076D" w:rsidP="00DF076D">
      <w:r>
        <w:rPr>
          <w:rFonts w:hint="eastAsia"/>
        </w:rPr>
        <w:t>4.</w:t>
      </w:r>
      <w:r w:rsidRPr="00DF076D">
        <w:rPr>
          <w:rFonts w:hint="eastAsia"/>
        </w:rPr>
        <w:t xml:space="preserve"> </w:t>
      </w:r>
      <w:r>
        <w:rPr>
          <w:rFonts w:hint="eastAsia"/>
        </w:rPr>
        <w:t>充分性检验</w:t>
      </w:r>
    </w:p>
    <w:p w14:paraId="05015E6E" w14:textId="21025507" w:rsidR="00DF076D" w:rsidRDefault="00DF076D" w:rsidP="00DF076D">
      <w:r>
        <w:rPr>
          <w:rFonts w:hint="eastAsia"/>
        </w:rPr>
        <w:t>检验总体变量的相关矩阵是否是单位阵</w:t>
      </w:r>
      <w:r>
        <w:t>，即检验各个变量是否各自独立。</w:t>
      </w:r>
    </w:p>
    <w:p w14:paraId="209063D3" w14:textId="3AED25BB" w:rsidR="00DF076D" w:rsidRDefault="00DF076D" w:rsidP="00DF076D">
      <w:r>
        <w:rPr>
          <w:rFonts w:hint="eastAsia"/>
        </w:rPr>
        <w:t>如果不是单位矩阵，说明原变量之间存在相关性，可以进行因子分子；反之，原变量之间不存在相关性，数据不适合进行主成分分析或因子分析</w:t>
      </w:r>
    </w:p>
    <w:p w14:paraId="199ABCD2" w14:textId="03735730" w:rsidR="00DF076D" w:rsidRDefault="00DF076D" w:rsidP="00DF076D">
      <w:r>
        <w:rPr>
          <w:rFonts w:hint="eastAsia"/>
        </w:rPr>
        <w:t>（1）</w:t>
      </w:r>
      <w:r>
        <w:t>KMO检验</w:t>
      </w:r>
    </w:p>
    <w:p w14:paraId="604A8DB8" w14:textId="77777777" w:rsidR="00DF076D" w:rsidRDefault="00DF076D" w:rsidP="00DF076D">
      <w:r>
        <w:rPr>
          <w:rFonts w:hint="eastAsia"/>
        </w:rPr>
        <w:t>检查变量间的相关性和偏相关性，取值在</w:t>
      </w:r>
      <w:r>
        <w:t>0-1之间；KOM统计量越接近1，变量间的相关性越强，偏相关性越弱，因子分析的效果越好。</w:t>
      </w:r>
    </w:p>
    <w:p w14:paraId="1DAAE790" w14:textId="77650F2A" w:rsidR="00DF076D" w:rsidRDefault="00DF076D" w:rsidP="00DF076D">
      <w:r w:rsidRPr="00DF076D">
        <w:rPr>
          <w:noProof/>
        </w:rPr>
        <w:drawing>
          <wp:inline distT="0" distB="0" distL="0" distR="0" wp14:anchorId="4D6819A1" wp14:editId="192FAEB2">
            <wp:extent cx="5274310" cy="1242060"/>
            <wp:effectExtent l="0" t="0" r="2540" b="0"/>
            <wp:docPr id="5378438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438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1457" w14:textId="77777777" w:rsidR="00A8455B" w:rsidRDefault="00DF076D" w:rsidP="00DF076D">
      <w:r>
        <w:rPr>
          <w:rFonts w:hint="eastAsia"/>
        </w:rPr>
        <w:t>通常取值从</w:t>
      </w:r>
      <w:r>
        <w:t>0.6开始进行因子分析</w:t>
      </w:r>
    </w:p>
    <w:p w14:paraId="050ADCF6" w14:textId="065FD4F3" w:rsidR="00DF076D" w:rsidRDefault="00A8455B" w:rsidP="00DF076D">
      <w:pPr>
        <w:rPr>
          <w:rFonts w:ascii="Consolas" w:hAnsi="Consolas"/>
          <w:szCs w:val="21"/>
        </w:rPr>
      </w:pPr>
      <w:r w:rsidRPr="00A8455B">
        <w:rPr>
          <w:rFonts w:hint="eastAsia"/>
        </w:rPr>
        <w:t>KMO检验结果：</w:t>
      </w:r>
      <w:r w:rsidRPr="00A8455B">
        <w:rPr>
          <w:rFonts w:ascii="Consolas" w:hAnsi="Consolas"/>
          <w:szCs w:val="21"/>
        </w:rPr>
        <w:t>0.6881235476321951</w:t>
      </w:r>
      <w:r w:rsidRPr="00A8455B">
        <w:rPr>
          <w:rFonts w:ascii="Consolas" w:hAnsi="Consolas" w:hint="eastAsia"/>
          <w:szCs w:val="21"/>
        </w:rPr>
        <w:t>，可以使用因子分析</w:t>
      </w:r>
    </w:p>
    <w:p w14:paraId="7ECE57A1" w14:textId="77777777" w:rsidR="00A8455B" w:rsidRPr="00A8455B" w:rsidRDefault="00A8455B" w:rsidP="00A8455B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（</w:t>
      </w:r>
      <w:r>
        <w:rPr>
          <w:rFonts w:ascii="Consolas" w:hAnsi="Consolas" w:hint="eastAsia"/>
          <w:szCs w:val="21"/>
        </w:rPr>
        <w:t>2</w:t>
      </w:r>
      <w:r>
        <w:rPr>
          <w:rFonts w:ascii="Consolas" w:hAnsi="Consolas" w:hint="eastAsia"/>
          <w:szCs w:val="21"/>
        </w:rPr>
        <w:t>）</w:t>
      </w:r>
      <w:r w:rsidRPr="00A8455B">
        <w:rPr>
          <w:rFonts w:ascii="Consolas" w:hAnsi="Consolas"/>
          <w:szCs w:val="21"/>
        </w:rPr>
        <w:t>Bartlett's</w:t>
      </w:r>
      <w:r w:rsidRPr="00A8455B">
        <w:rPr>
          <w:rFonts w:ascii="Consolas" w:hAnsi="Consolas"/>
          <w:szCs w:val="21"/>
        </w:rPr>
        <w:t>球状检验</w:t>
      </w:r>
    </w:p>
    <w:p w14:paraId="42D52781" w14:textId="6312AC97" w:rsidR="00A8455B" w:rsidRDefault="00A8455B" w:rsidP="00A8455B">
      <w:pPr>
        <w:rPr>
          <w:rFonts w:ascii="Consolas" w:hAnsi="Consolas"/>
          <w:szCs w:val="21"/>
        </w:rPr>
      </w:pPr>
      <w:r w:rsidRPr="00A8455B">
        <w:rPr>
          <w:rFonts w:ascii="Consolas" w:hAnsi="Consolas"/>
          <w:szCs w:val="21"/>
        </w:rPr>
        <w:lastRenderedPageBreak/>
        <w:t>用来对虚假设进行检验</w:t>
      </w:r>
      <w:r w:rsidR="000076D1">
        <w:rPr>
          <w:rFonts w:ascii="Consolas" w:hAnsi="Consolas" w:hint="eastAsia"/>
          <w:szCs w:val="21"/>
        </w:rPr>
        <w:t>，</w:t>
      </w:r>
      <w:r w:rsidRPr="00A8455B">
        <w:rPr>
          <w:rFonts w:ascii="Consolas" w:hAnsi="Consolas"/>
          <w:szCs w:val="21"/>
        </w:rPr>
        <w:t>以变量的相关系数矩阵为出发点。它的零假设相关系数矩阵是一个单位阵。巴特利特球形检验的统计量根据相关系数矩阵的行列式得到。如果该值较大，且对应的相伴概率值小于用户心中的显著性水平，那么拒绝零假设，认为相关系数不可能是单位阵，即原始变量之间存在相关性，适合于作因子分析；相反，则不适合作因子分析。</w:t>
      </w:r>
    </w:p>
    <w:p w14:paraId="23E84406" w14:textId="664FD8D6" w:rsidR="000076D1" w:rsidRDefault="000076D1" w:rsidP="00A8455B">
      <w:r w:rsidRPr="000076D1">
        <w:rPr>
          <w:noProof/>
        </w:rPr>
        <w:drawing>
          <wp:inline distT="0" distB="0" distL="0" distR="0" wp14:anchorId="203E7E1C" wp14:editId="6CDE5EF7">
            <wp:extent cx="5274310" cy="1268730"/>
            <wp:effectExtent l="0" t="0" r="2540" b="7620"/>
            <wp:docPr id="195358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80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E887A" w14:textId="737CB269" w:rsidR="000076D1" w:rsidRDefault="000076D1" w:rsidP="00A8455B">
      <w:pPr>
        <w:rPr>
          <w:rFonts w:ascii="Consolas" w:hAnsi="Consolas"/>
          <w:szCs w:val="21"/>
        </w:rPr>
      </w:pPr>
      <w:r w:rsidRPr="000076D1">
        <w:rPr>
          <w:rFonts w:hint="eastAsia"/>
        </w:rPr>
        <w:t>检验结果：</w:t>
      </w:r>
      <w:r w:rsidRPr="000076D1">
        <w:rPr>
          <w:rFonts w:ascii="Consolas" w:hAnsi="Consolas"/>
          <w:szCs w:val="21"/>
        </w:rPr>
        <w:t>(2161528.7119740197, 0.0)</w:t>
      </w:r>
      <w:r>
        <w:rPr>
          <w:rFonts w:ascii="Consolas" w:hAnsi="Consolas" w:hint="eastAsia"/>
          <w:szCs w:val="21"/>
        </w:rPr>
        <w:t>（</w:t>
      </w:r>
      <w:r>
        <w:rPr>
          <w:rFonts w:ascii="Consolas" w:hAnsi="Consolas" w:hint="eastAsia"/>
          <w:szCs w:val="21"/>
        </w:rPr>
        <w:t>0.0</w:t>
      </w:r>
      <w:r>
        <w:rPr>
          <w:rFonts w:ascii="Consolas" w:hAnsi="Consolas" w:hint="eastAsia"/>
          <w:szCs w:val="21"/>
        </w:rPr>
        <w:t>是因为小于机器表示最小值）</w:t>
      </w:r>
    </w:p>
    <w:p w14:paraId="42BB9664" w14:textId="30D2B56F" w:rsidR="000076D1" w:rsidRDefault="000076D1" w:rsidP="00A8455B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结果显示适用于因子分析</w:t>
      </w:r>
    </w:p>
    <w:p w14:paraId="43035FCC" w14:textId="77777777" w:rsidR="000076D1" w:rsidRDefault="000076D1" w:rsidP="00A8455B">
      <w:pPr>
        <w:rPr>
          <w:rFonts w:ascii="Consolas" w:hAnsi="Consolas"/>
          <w:szCs w:val="21"/>
        </w:rPr>
      </w:pPr>
    </w:p>
    <w:p w14:paraId="053E6494" w14:textId="6BCD9627" w:rsidR="000076D1" w:rsidRPr="000076D1" w:rsidRDefault="000076D1" w:rsidP="000076D1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5.</w:t>
      </w:r>
      <w:r w:rsidRPr="000076D1">
        <w:rPr>
          <w:rFonts w:hint="eastAsia"/>
        </w:rPr>
        <w:t xml:space="preserve"> </w:t>
      </w:r>
      <w:r w:rsidRPr="000076D1">
        <w:rPr>
          <w:rFonts w:ascii="Consolas" w:hAnsi="Consolas" w:hint="eastAsia"/>
          <w:szCs w:val="21"/>
        </w:rPr>
        <w:t>选择因子个数</w:t>
      </w:r>
    </w:p>
    <w:p w14:paraId="649994DE" w14:textId="45A526C8" w:rsidR="000076D1" w:rsidRDefault="000076D1" w:rsidP="000076D1">
      <w:pPr>
        <w:rPr>
          <w:rFonts w:ascii="Consolas" w:hAnsi="Consolas"/>
          <w:szCs w:val="21"/>
        </w:rPr>
      </w:pPr>
      <w:r w:rsidRPr="000076D1">
        <w:rPr>
          <w:rFonts w:ascii="Consolas" w:hAnsi="Consolas" w:hint="eastAsia"/>
          <w:szCs w:val="21"/>
        </w:rPr>
        <w:t>方法：计算相关矩阵的特征值，进行降序排列</w:t>
      </w:r>
    </w:p>
    <w:p w14:paraId="2E061802" w14:textId="77777777" w:rsidR="006067D2" w:rsidRDefault="00081C54" w:rsidP="006067D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特征值大于</w:t>
      </w:r>
      <w:r>
        <w:rPr>
          <w:rFonts w:ascii="Consolas" w:hAnsi="Consolas" w:hint="eastAsia"/>
          <w:szCs w:val="21"/>
        </w:rPr>
        <w:t>1</w:t>
      </w:r>
      <w:r>
        <w:rPr>
          <w:rFonts w:ascii="Consolas" w:hAnsi="Consolas" w:hint="eastAsia"/>
          <w:szCs w:val="21"/>
        </w:rPr>
        <w:t>的因子有</w:t>
      </w:r>
      <w:r>
        <w:rPr>
          <w:rFonts w:ascii="Consolas" w:hAnsi="Consolas" w:hint="eastAsia"/>
          <w:szCs w:val="21"/>
        </w:rPr>
        <w:t>29</w:t>
      </w:r>
      <w:r>
        <w:rPr>
          <w:rFonts w:ascii="Consolas" w:hAnsi="Consolas" w:hint="eastAsia"/>
          <w:szCs w:val="21"/>
        </w:rPr>
        <w:t>个，因子分析降维为</w:t>
      </w:r>
      <w:r>
        <w:rPr>
          <w:rFonts w:ascii="Consolas" w:hAnsi="Consolas" w:hint="eastAsia"/>
          <w:szCs w:val="21"/>
        </w:rPr>
        <w:t>29</w:t>
      </w:r>
      <w:r>
        <w:rPr>
          <w:rFonts w:ascii="Consolas" w:hAnsi="Consolas" w:hint="eastAsia"/>
          <w:szCs w:val="21"/>
        </w:rPr>
        <w:t>个特征</w:t>
      </w:r>
    </w:p>
    <w:p w14:paraId="577C428E" w14:textId="55122D08" w:rsidR="006067D2" w:rsidRDefault="006067D2" w:rsidP="006067D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特征值</w:t>
      </w:r>
    </w:p>
    <w:p w14:paraId="1EFA9376" w14:textId="5118070B" w:rsidR="006067D2" w:rsidRDefault="006067D2" w:rsidP="006067D2">
      <w:pPr>
        <w:rPr>
          <w:rFonts w:ascii="Consolas" w:hAnsi="Consolas"/>
          <w:szCs w:val="21"/>
        </w:rPr>
      </w:pPr>
      <w:r w:rsidRPr="006067D2">
        <w:rPr>
          <w:rFonts w:ascii="Consolas" w:hAnsi="Consolas"/>
          <w:noProof/>
          <w:szCs w:val="21"/>
        </w:rPr>
        <w:drawing>
          <wp:inline distT="0" distB="0" distL="0" distR="0" wp14:anchorId="61484D6A" wp14:editId="7AC2E77F">
            <wp:extent cx="5274310" cy="330200"/>
            <wp:effectExtent l="0" t="0" r="2540" b="0"/>
            <wp:docPr id="13780978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0978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7D2">
        <w:rPr>
          <w:rFonts w:ascii="Consolas" w:hAnsi="Consolas"/>
          <w:szCs w:val="21"/>
        </w:rPr>
        <w:t>又称第</w:t>
      </w:r>
      <w:r w:rsidRPr="006067D2">
        <w:rPr>
          <w:rFonts w:ascii="Consolas" w:hAnsi="Consolas"/>
          <w:szCs w:val="21"/>
        </w:rPr>
        <w:t>j</w:t>
      </w:r>
      <w:r w:rsidRPr="006067D2">
        <w:rPr>
          <w:rFonts w:ascii="Consolas" w:hAnsi="Consolas"/>
          <w:szCs w:val="21"/>
        </w:rPr>
        <w:t>个公共因子的方差贡献。即每个变量与某一</w:t>
      </w:r>
      <w:r>
        <w:rPr>
          <w:rFonts w:ascii="Consolas" w:hAnsi="Consolas" w:hint="eastAsia"/>
          <w:szCs w:val="21"/>
        </w:rPr>
        <w:t>公共因子</w:t>
      </w:r>
      <w:r w:rsidRPr="006067D2">
        <w:rPr>
          <w:rFonts w:ascii="Consolas" w:hAnsi="Consolas"/>
          <w:szCs w:val="21"/>
        </w:rPr>
        <w:t>负荷量的平方总和（因子载荷矩阵中某一公共因子列所有因子负荷量的平方和）。</w:t>
      </w:r>
      <w:r>
        <w:rPr>
          <w:rFonts w:ascii="Consolas" w:hAnsi="Consolas" w:hint="eastAsia"/>
          <w:szCs w:val="21"/>
        </w:rPr>
        <w:t>此处降序排列</w:t>
      </w:r>
    </w:p>
    <w:p w14:paraId="75C608B5" w14:textId="77777777" w:rsidR="006067D2" w:rsidRDefault="006067D2" w:rsidP="000076D1">
      <w:pPr>
        <w:rPr>
          <w:rFonts w:ascii="Consolas" w:hAnsi="Consolas"/>
          <w:szCs w:val="21"/>
        </w:rPr>
      </w:pPr>
    </w:p>
    <w:p w14:paraId="066FF359" w14:textId="77777777" w:rsidR="00081C54" w:rsidRPr="00081C54" w:rsidRDefault="00081C54" w:rsidP="00081C54">
      <w:pPr>
        <w:rPr>
          <w:highlight w:val="yellow"/>
        </w:rPr>
      </w:pPr>
      <w:r>
        <w:t xml:space="preserve">[ </w:t>
      </w:r>
      <w:r w:rsidRPr="00081C54">
        <w:rPr>
          <w:highlight w:val="yellow"/>
        </w:rPr>
        <w:t>1.26390058e+01  6.78742313e+00  4.73449429e+00  4.44105256e+00</w:t>
      </w:r>
    </w:p>
    <w:p w14:paraId="0FD7419A" w14:textId="77777777" w:rsidR="00081C54" w:rsidRPr="00081C54" w:rsidRDefault="00081C54" w:rsidP="00081C54">
      <w:pPr>
        <w:rPr>
          <w:highlight w:val="yellow"/>
        </w:rPr>
      </w:pPr>
      <w:r w:rsidRPr="00081C54">
        <w:rPr>
          <w:highlight w:val="yellow"/>
        </w:rPr>
        <w:t xml:space="preserve">  3.98063606e+00  3.04214298e+00  2.86649579e+00  2.75924943e+00</w:t>
      </w:r>
    </w:p>
    <w:p w14:paraId="4FFC6120" w14:textId="77777777" w:rsidR="00081C54" w:rsidRPr="00081C54" w:rsidRDefault="00081C54" w:rsidP="00081C54">
      <w:pPr>
        <w:rPr>
          <w:highlight w:val="yellow"/>
        </w:rPr>
      </w:pPr>
      <w:r w:rsidRPr="00081C54">
        <w:rPr>
          <w:highlight w:val="yellow"/>
        </w:rPr>
        <w:t xml:space="preserve">  2.63574669e+00  2.06502443e+00  1.94427832e+00  1.86704041e+00</w:t>
      </w:r>
    </w:p>
    <w:p w14:paraId="2026DA99" w14:textId="77777777" w:rsidR="00081C54" w:rsidRPr="00081C54" w:rsidRDefault="00081C54" w:rsidP="00081C54">
      <w:pPr>
        <w:rPr>
          <w:highlight w:val="yellow"/>
        </w:rPr>
      </w:pPr>
      <w:r w:rsidRPr="00081C54">
        <w:rPr>
          <w:highlight w:val="yellow"/>
        </w:rPr>
        <w:t xml:space="preserve">  1.68164280e+00  1.50795328e+00  1.48694376e+00  1.44309565e+00</w:t>
      </w:r>
    </w:p>
    <w:p w14:paraId="0D9CEE7C" w14:textId="77777777" w:rsidR="00081C54" w:rsidRPr="00081C54" w:rsidRDefault="00081C54" w:rsidP="00081C54">
      <w:pPr>
        <w:rPr>
          <w:highlight w:val="yellow"/>
        </w:rPr>
      </w:pPr>
      <w:r w:rsidRPr="00081C54">
        <w:rPr>
          <w:highlight w:val="yellow"/>
        </w:rPr>
        <w:t xml:space="preserve">  1.42581491e+00  1.31365505e+00  1.23599311e+00  1.21194062e+00</w:t>
      </w:r>
    </w:p>
    <w:p w14:paraId="5875C8C9" w14:textId="77777777" w:rsidR="00081C54" w:rsidRPr="00081C54" w:rsidRDefault="00081C54" w:rsidP="00081C54">
      <w:pPr>
        <w:rPr>
          <w:highlight w:val="yellow"/>
        </w:rPr>
      </w:pPr>
      <w:r w:rsidRPr="00081C54">
        <w:rPr>
          <w:highlight w:val="yellow"/>
        </w:rPr>
        <w:t xml:space="preserve">  1.17323408e+00  1.14536517e+00  1.09137038e+00  1.05436320e+00</w:t>
      </w:r>
    </w:p>
    <w:p w14:paraId="39A4BAA2" w14:textId="77777777" w:rsidR="00081C54" w:rsidRPr="00081C54" w:rsidRDefault="00081C54" w:rsidP="00081C54">
      <w:pPr>
        <w:rPr>
          <w:highlight w:val="yellow"/>
        </w:rPr>
      </w:pPr>
      <w:r w:rsidRPr="00081C54">
        <w:rPr>
          <w:highlight w:val="yellow"/>
        </w:rPr>
        <w:t xml:space="preserve">  1.04508630e+00  1.03439030e+00  1.01273108e+00  1.00961858e+00</w:t>
      </w:r>
    </w:p>
    <w:p w14:paraId="7F98BD1A" w14:textId="77777777" w:rsidR="00081C54" w:rsidRDefault="00081C54" w:rsidP="00081C54">
      <w:r w:rsidRPr="00081C54">
        <w:rPr>
          <w:highlight w:val="yellow"/>
        </w:rPr>
        <w:t xml:space="preserve">  1.00704235e+00</w:t>
      </w:r>
      <w:r>
        <w:t xml:space="preserve">  9.85209400e-01  9.77814252e-01  9.65642155e-01</w:t>
      </w:r>
    </w:p>
    <w:p w14:paraId="219B9000" w14:textId="77777777" w:rsidR="00081C54" w:rsidRDefault="00081C54" w:rsidP="00081C54">
      <w:r>
        <w:t xml:space="preserve">  9.58251120e-01  9.52762178e-01  9.39505040e-01  9.27654011e-01</w:t>
      </w:r>
    </w:p>
    <w:p w14:paraId="67F005B9" w14:textId="77777777" w:rsidR="00081C54" w:rsidRDefault="00081C54" w:rsidP="00081C54">
      <w:r>
        <w:t xml:space="preserve">  9.11729774e-01  9.09149456e-01  8.90574612e-01  8.58505877e-01</w:t>
      </w:r>
    </w:p>
    <w:p w14:paraId="7E186D1C" w14:textId="77777777" w:rsidR="00081C54" w:rsidRDefault="00081C54" w:rsidP="00081C54">
      <w:r>
        <w:t xml:space="preserve">  8.50031700e-01  8.31141753e-01  8.16716398e-01  7.97501955e-01</w:t>
      </w:r>
    </w:p>
    <w:p w14:paraId="0A1EC263" w14:textId="77777777" w:rsidR="00081C54" w:rsidRDefault="00081C54" w:rsidP="00081C54">
      <w:r>
        <w:t xml:space="preserve">  7.77654266e-01  7.56408250e-01  7.15270259e-01  6.85932818e-01</w:t>
      </w:r>
    </w:p>
    <w:p w14:paraId="59140324" w14:textId="77777777" w:rsidR="00081C54" w:rsidRDefault="00081C54" w:rsidP="00081C54">
      <w:r>
        <w:t xml:space="preserve">  6.57164817e-01  5.97929619e-01  5.64786359e-01  5.40224054e-01</w:t>
      </w:r>
    </w:p>
    <w:p w14:paraId="6FC9583D" w14:textId="77777777" w:rsidR="00081C54" w:rsidRDefault="00081C54" w:rsidP="00081C54">
      <w:r>
        <w:t xml:space="preserve">  5.38350271e-01  4.98351742e-01  4.64763947e-01  4.23002800e-01</w:t>
      </w:r>
    </w:p>
    <w:p w14:paraId="1A4B0609" w14:textId="77777777" w:rsidR="00081C54" w:rsidRDefault="00081C54" w:rsidP="00081C54">
      <w:r>
        <w:t xml:space="preserve">  4.11679978e-01  3.84199563e-01  3.23981517e-01  3.23660075e-01</w:t>
      </w:r>
    </w:p>
    <w:p w14:paraId="4B335412" w14:textId="77777777" w:rsidR="00081C54" w:rsidRDefault="00081C54" w:rsidP="00081C54">
      <w:r>
        <w:t xml:space="preserve">  2.49643491e-01  2.43240870e-01  2.15963165e-01  2.14418380e-01</w:t>
      </w:r>
    </w:p>
    <w:p w14:paraId="0B2D175A" w14:textId="77777777" w:rsidR="00081C54" w:rsidRDefault="00081C54" w:rsidP="00081C54">
      <w:r>
        <w:t xml:space="preserve">  1.68731552e-01  1.65497671e-01  1.54628885e-01  1.40238271e-01</w:t>
      </w:r>
    </w:p>
    <w:p w14:paraId="5BE57EE2" w14:textId="77777777" w:rsidR="00081C54" w:rsidRDefault="00081C54" w:rsidP="00081C54">
      <w:r>
        <w:t xml:space="preserve">  1.12206600e-01  8.46964484e-02  8.20962145e-02  6.35570157e-02</w:t>
      </w:r>
    </w:p>
    <w:p w14:paraId="0E417DDE" w14:textId="77777777" w:rsidR="00081C54" w:rsidRDefault="00081C54" w:rsidP="00081C54">
      <w:r>
        <w:t xml:space="preserve">  5.34183653e-02  3.72401468e-02  2.90725128e-02  2.45372850e-02</w:t>
      </w:r>
    </w:p>
    <w:p w14:paraId="0186785B" w14:textId="77777777" w:rsidR="00081C54" w:rsidRDefault="00081C54" w:rsidP="00081C54">
      <w:r>
        <w:t xml:space="preserve">  2.19562537e-02  1.92898608e-02  1.51698740e-02  9.50742574e-03</w:t>
      </w:r>
    </w:p>
    <w:p w14:paraId="1EC3F235" w14:textId="77777777" w:rsidR="00081C54" w:rsidRDefault="00081C54" w:rsidP="00081C54">
      <w:r>
        <w:t xml:space="preserve">  5.60704438e-03  3.76732201e-03  2.65216651e-03  1.61350363e-03</w:t>
      </w:r>
    </w:p>
    <w:p w14:paraId="5E2FA91B" w14:textId="77777777" w:rsidR="00081C54" w:rsidRDefault="00081C54" w:rsidP="00081C54">
      <w:r>
        <w:lastRenderedPageBreak/>
        <w:t xml:space="preserve">  9.17762679e-04  7.80370156e-04  6.45806648e-04  3.76850153e-04</w:t>
      </w:r>
    </w:p>
    <w:p w14:paraId="65774B95" w14:textId="77777777" w:rsidR="00081C54" w:rsidRDefault="00081C54" w:rsidP="00081C54">
      <w:r>
        <w:t xml:space="preserve">  1.48399003e-04  7.41407087e-09  1.05451267e-11  1.25425650e-16</w:t>
      </w:r>
    </w:p>
    <w:p w14:paraId="2C9B8253" w14:textId="77777777" w:rsidR="00081C54" w:rsidRDefault="00081C54" w:rsidP="00081C54">
      <w:r>
        <w:t xml:space="preserve"> -7.02976658e-17 -7.09438348e-17 -2.75740000e-16]</w:t>
      </w:r>
    </w:p>
    <w:p w14:paraId="5A084781" w14:textId="77777777" w:rsidR="00081C54" w:rsidRPr="00081C54" w:rsidRDefault="00081C54" w:rsidP="000076D1">
      <w:pPr>
        <w:rPr>
          <w:rFonts w:ascii="Consolas" w:hAnsi="Consolas"/>
          <w:szCs w:val="21"/>
        </w:rPr>
      </w:pPr>
    </w:p>
    <w:p w14:paraId="11913EAE" w14:textId="1CB9064A" w:rsidR="000076D1" w:rsidRDefault="00081C54" w:rsidP="000076D1">
      <w:r w:rsidRPr="00081C54">
        <w:rPr>
          <w:rFonts w:hint="eastAsia"/>
        </w:rPr>
        <w:t>特征值和因子个数的变化</w:t>
      </w:r>
      <w:r>
        <w:rPr>
          <w:rFonts w:hint="eastAsia"/>
        </w:rPr>
        <w:t>关系</w:t>
      </w:r>
      <w:r w:rsidRPr="00081C54">
        <w:rPr>
          <w:rFonts w:hint="eastAsia"/>
        </w:rPr>
        <w:t>图</w:t>
      </w:r>
      <w:r>
        <w:rPr>
          <w:rFonts w:hint="eastAsia"/>
        </w:rPr>
        <w:t>：</w:t>
      </w:r>
    </w:p>
    <w:p w14:paraId="0B45E107" w14:textId="1A9D84F3" w:rsidR="00081C54" w:rsidRDefault="00081C54" w:rsidP="000076D1">
      <w:r w:rsidRPr="00081C54">
        <w:rPr>
          <w:noProof/>
        </w:rPr>
        <w:drawing>
          <wp:inline distT="0" distB="0" distL="0" distR="0" wp14:anchorId="280210DB" wp14:editId="00423BB6">
            <wp:extent cx="5274310" cy="4251960"/>
            <wp:effectExtent l="0" t="0" r="2540" b="0"/>
            <wp:docPr id="506590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904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7B01" w14:textId="77777777" w:rsidR="00081C54" w:rsidRDefault="00081C54" w:rsidP="000076D1"/>
    <w:p w14:paraId="7FF753E2" w14:textId="4F42C4EE" w:rsidR="00081C54" w:rsidRDefault="00081C54" w:rsidP="00081C54">
      <w:r>
        <w:rPr>
          <w:rFonts w:hint="eastAsia"/>
        </w:rPr>
        <w:t>6.因子旋转</w:t>
      </w:r>
    </w:p>
    <w:p w14:paraId="6715ADE0" w14:textId="77777777" w:rsidR="00081C54" w:rsidRDefault="00081C54" w:rsidP="00081C54">
      <w:r>
        <w:rPr>
          <w:rFonts w:hint="eastAsia"/>
        </w:rPr>
        <w:t>（1）建立因子分析模型</w:t>
      </w:r>
    </w:p>
    <w:p w14:paraId="71FD0D4E" w14:textId="4A179CE4" w:rsidR="00081C54" w:rsidRDefault="00081C54" w:rsidP="00081C54">
      <w:r>
        <w:rPr>
          <w:rFonts w:hint="eastAsia"/>
        </w:rPr>
        <w:t>选择最大方差化因子旋转</w:t>
      </w:r>
      <w:r w:rsidR="00D42365">
        <w:rPr>
          <w:rFonts w:hint="eastAsia"/>
        </w:rPr>
        <w:t>方式</w:t>
      </w:r>
    </w:p>
    <w:p w14:paraId="5ED99B2F" w14:textId="0269FDC1" w:rsidR="0016667B" w:rsidRDefault="0016667B" w:rsidP="00081C54">
      <w:r>
        <w:rPr>
          <w:rFonts w:hint="eastAsia"/>
        </w:rPr>
        <w:t>是一种正交旋转，</w:t>
      </w:r>
      <w:r w:rsidRPr="0016667B">
        <w:rPr>
          <w:rFonts w:hint="eastAsia"/>
        </w:rPr>
        <w:t>方差最大法从简化因子载荷矩阵的每一列出发，使和</w:t>
      </w:r>
      <w:r w:rsidRPr="0016667B">
        <w:t xml:space="preserve"> 每个因子有关的载荷的平方的方差最大。当只有少数几个变量在某个因子上有较高的载荷时，对因子的解释最 简单。方差最大的直观意义是希望通过因子旋转后，使每个因子上的载荷尽量拉开距离，一部分的载荷趋于1，另一部分趋于0。</w:t>
      </w:r>
    </w:p>
    <w:p w14:paraId="591F6340" w14:textId="77777777" w:rsidR="00645E45" w:rsidRDefault="00D42365" w:rsidP="00081C54">
      <w:r>
        <w:rPr>
          <w:rFonts w:hint="eastAsia"/>
        </w:rPr>
        <w:t>（2）公因子方差：只列举了前11个属性</w:t>
      </w:r>
      <w:r w:rsidR="001C52DC">
        <w:rPr>
          <w:rFonts w:hint="eastAsia"/>
        </w:rPr>
        <w:t>，未提取公因子前每个属性的方差为1（Z-SCORE标准化过）</w:t>
      </w:r>
    </w:p>
    <w:p w14:paraId="16B17C43" w14:textId="4C1A709C" w:rsidR="00645E45" w:rsidRDefault="00645E45" w:rsidP="00081C54">
      <w:r w:rsidRPr="00645E45">
        <w:t>变量</w:t>
      </w:r>
      <w:r>
        <w:rPr>
          <w:rFonts w:hint="eastAsia"/>
        </w:rPr>
        <w:t>xi</w:t>
      </w:r>
      <w:r w:rsidRPr="00645E45">
        <w:t>的</w:t>
      </w:r>
      <w:r>
        <w:rPr>
          <w:rFonts w:hint="eastAsia"/>
        </w:rPr>
        <w:t>公因子方差</w:t>
      </w:r>
      <w:r w:rsidRPr="00645E45">
        <w:t>是因子载荷矩阵的第i行的元素的平方和。记为</w:t>
      </w:r>
    </w:p>
    <w:p w14:paraId="2E93A70A" w14:textId="2BEE6EAD" w:rsidR="00645E45" w:rsidRDefault="006067D2" w:rsidP="00081C54">
      <w:r w:rsidRPr="006067D2">
        <w:rPr>
          <w:noProof/>
        </w:rPr>
        <w:drawing>
          <wp:inline distT="0" distB="0" distL="0" distR="0" wp14:anchorId="7518A681" wp14:editId="44D6BA29">
            <wp:extent cx="1590675" cy="802865"/>
            <wp:effectExtent l="0" t="0" r="0" b="0"/>
            <wp:docPr id="12769801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9801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5471" cy="8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5"/>
        <w:gridCol w:w="1350"/>
      </w:tblGrid>
      <w:tr w:rsidR="00D42365" w:rsidRPr="00D42365" w14:paraId="4BDE82CC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E61E3E1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Bankrupt?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6FE62F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0.164974</w:t>
            </w:r>
          </w:p>
        </w:tc>
      </w:tr>
      <w:tr w:rsidR="00D42365" w:rsidRPr="00D42365" w14:paraId="055CB529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4CB144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lastRenderedPageBreak/>
              <w:t>ROA(C) before interest and depreciation before interest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39396C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0.949975</w:t>
            </w:r>
          </w:p>
        </w:tc>
      </w:tr>
      <w:tr w:rsidR="00D42365" w:rsidRPr="00D42365" w14:paraId="6AAB81D7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9E9FF7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ROA(A) before interest and % after tax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6B97CD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0.961902</w:t>
            </w:r>
          </w:p>
        </w:tc>
      </w:tr>
      <w:tr w:rsidR="00D42365" w:rsidRPr="00D42365" w14:paraId="27D11F9D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0A10460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ROA(B) before interest and depreciation after tax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31A699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0.970047</w:t>
            </w:r>
          </w:p>
        </w:tc>
      </w:tr>
      <w:tr w:rsidR="00D42365" w:rsidRPr="00D42365" w14:paraId="6E8DA249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CB69052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Operating Gross Margin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CB5BCE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0.998166</w:t>
            </w:r>
          </w:p>
        </w:tc>
      </w:tr>
      <w:tr w:rsidR="00D42365" w:rsidRPr="00D42365" w14:paraId="04CAD4AC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97AA0E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Realized Sales Gross Margin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63A557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0.997908</w:t>
            </w:r>
          </w:p>
        </w:tc>
      </w:tr>
      <w:tr w:rsidR="00D42365" w:rsidRPr="00D42365" w14:paraId="5FF7626F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4D8AB2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Operating Profit Rate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CEC20D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1.000869</w:t>
            </w:r>
          </w:p>
        </w:tc>
      </w:tr>
      <w:tr w:rsidR="00D42365" w:rsidRPr="00D42365" w14:paraId="18B6A7D8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823E0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Pre-tax net Interest Rate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1D52343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0.997136</w:t>
            </w:r>
          </w:p>
        </w:tc>
      </w:tr>
      <w:tr w:rsidR="00D42365" w:rsidRPr="00D42365" w14:paraId="374525C4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51CF87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After-tax net Interest Rate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934184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1.000018</w:t>
            </w:r>
          </w:p>
        </w:tc>
      </w:tr>
      <w:tr w:rsidR="00D42365" w:rsidRPr="00D42365" w14:paraId="7B5669EA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C6AE9C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Non-industry income and expenditure/revenue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2591C7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0.900753</w:t>
            </w:r>
          </w:p>
        </w:tc>
      </w:tr>
      <w:tr w:rsidR="00D42365" w:rsidRPr="00D42365" w14:paraId="2651766D" w14:textId="77777777" w:rsidTr="00D42365">
        <w:tc>
          <w:tcPr>
            <w:tcW w:w="509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2A220E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Continuous interest rate (after tax)</w:t>
            </w:r>
          </w:p>
        </w:tc>
        <w:tc>
          <w:tcPr>
            <w:tcW w:w="13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4694A3B" w14:textId="77777777" w:rsidR="00D42365" w:rsidRPr="00D42365" w:rsidRDefault="00D42365" w:rsidP="00D42365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D42365"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  <w:t>0.990357</w:t>
            </w:r>
          </w:p>
        </w:tc>
      </w:tr>
    </w:tbl>
    <w:p w14:paraId="5DF97D48" w14:textId="13F194E6" w:rsidR="00D42365" w:rsidRDefault="00D42365" w:rsidP="00081C54">
      <w:r>
        <w:rPr>
          <w:rFonts w:hint="eastAsia"/>
        </w:rPr>
        <w:t>（3）</w:t>
      </w:r>
      <w:r w:rsidR="004F170C">
        <w:rPr>
          <w:rFonts w:hint="eastAsia"/>
        </w:rPr>
        <w:t>因子</w:t>
      </w:r>
      <w:r>
        <w:rPr>
          <w:rFonts w:hint="eastAsia"/>
        </w:rPr>
        <w:t>贡献：</w:t>
      </w:r>
    </w:p>
    <w:p w14:paraId="7B8CF6F0" w14:textId="77777777" w:rsidR="004F170C" w:rsidRDefault="004F170C" w:rsidP="00081C54"/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"/>
        <w:gridCol w:w="1290"/>
        <w:gridCol w:w="1290"/>
        <w:gridCol w:w="1710"/>
      </w:tblGrid>
      <w:tr w:rsidR="004F170C" w:rsidRPr="004F170C" w14:paraId="6BC9EA79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8CF5ECE" w14:textId="77777777" w:rsidR="004F170C" w:rsidRPr="004F170C" w:rsidRDefault="004F170C" w:rsidP="004F170C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2674EF76" w14:textId="01BB20FF" w:rsidR="004F170C" w:rsidRPr="004F170C" w:rsidRDefault="004F170C" w:rsidP="004F170C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>
              <w:rPr>
                <w:rFonts w:ascii="Segoe UI" w:eastAsia="宋体" w:hAnsi="Segoe UI" w:cs="Segoe UI" w:hint="eastAsia"/>
                <w:kern w:val="0"/>
                <w:szCs w:val="21"/>
                <w14:ligatures w14:val="none"/>
              </w:rPr>
              <w:t>总方差贡献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6F13478C" w14:textId="73CA46E7" w:rsidR="004F170C" w:rsidRPr="004F170C" w:rsidRDefault="004F170C" w:rsidP="004F170C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>
              <w:rPr>
                <w:rFonts w:ascii="Segoe UI" w:eastAsia="宋体" w:hAnsi="Segoe UI" w:cs="Segoe UI" w:hint="eastAsia"/>
                <w:kern w:val="0"/>
                <w:szCs w:val="21"/>
                <w14:ligatures w14:val="none"/>
              </w:rPr>
              <w:t>方差贡献</w:t>
            </w:r>
            <w:r w:rsidR="006067D2">
              <w:rPr>
                <w:rFonts w:ascii="Segoe UI" w:eastAsia="宋体" w:hAnsi="Segoe UI" w:cs="Segoe UI" w:hint="eastAsia"/>
                <w:kern w:val="0"/>
                <w:szCs w:val="21"/>
                <w14:ligatures w14:val="none"/>
              </w:rPr>
              <w:t>率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</w:tcPr>
          <w:p w14:paraId="51ACC337" w14:textId="5E635236" w:rsidR="004F170C" w:rsidRPr="004F170C" w:rsidRDefault="004F170C" w:rsidP="004F170C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>
              <w:rPr>
                <w:rFonts w:ascii="Segoe UI" w:eastAsia="宋体" w:hAnsi="Segoe UI" w:cs="Segoe UI" w:hint="eastAsia"/>
                <w:kern w:val="0"/>
                <w:szCs w:val="21"/>
                <w14:ligatures w14:val="none"/>
              </w:rPr>
              <w:t>累计方差贡献</w:t>
            </w:r>
            <w:r w:rsidR="006067D2">
              <w:rPr>
                <w:rFonts w:ascii="Segoe UI" w:eastAsia="宋体" w:hAnsi="Segoe UI" w:cs="Segoe UI" w:hint="eastAsia"/>
                <w:kern w:val="0"/>
                <w:szCs w:val="21"/>
                <w14:ligatures w14:val="none"/>
              </w:rPr>
              <w:t>率</w:t>
            </w:r>
          </w:p>
        </w:tc>
      </w:tr>
      <w:tr w:rsidR="006067D2" w:rsidRPr="004F170C" w14:paraId="67F5C11C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508422" w14:textId="0D1DA04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EA1159" w14:textId="60D92A5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9.274147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7A86D0F" w14:textId="6BBBDE6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0.097623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6C9751" w14:textId="259D0DB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0.097623</w:t>
            </w:r>
          </w:p>
        </w:tc>
      </w:tr>
      <w:tr w:rsidR="006067D2" w:rsidRPr="004F170C" w14:paraId="059059DF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FE4256" w14:textId="0ABCDF2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A43BE0E" w14:textId="153565B7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6.324736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DEC646" w14:textId="59FEC2A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0.066576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4694531" w14:textId="782298C5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0.164199</w:t>
            </w:r>
          </w:p>
        </w:tc>
      </w:tr>
      <w:tr w:rsidR="006067D2" w:rsidRPr="004F170C" w14:paraId="16C7F334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DD4773D" w14:textId="0D04342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AEF0D9E" w14:textId="7739BD3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3.991342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FEA318E" w14:textId="45E3E26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0.042014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7BCF2E" w14:textId="44974A9B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0.206213</w:t>
            </w:r>
          </w:p>
        </w:tc>
      </w:tr>
      <w:tr w:rsidR="006067D2" w:rsidRPr="004F170C" w14:paraId="7D79E08E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C9BD0D" w14:textId="12ADF735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966672D" w14:textId="652BD80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3.987802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90FFD0" w14:textId="68C5764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0.041977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DB2BFED" w14:textId="31362341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0.248190</w:t>
            </w:r>
          </w:p>
        </w:tc>
      </w:tr>
      <w:tr w:rsidR="006067D2" w:rsidRPr="004F170C" w14:paraId="66634548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7A8925C" w14:textId="0606FEF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03A71E" w14:textId="32DEB4E6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3.382054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2EFF9F" w14:textId="289EBA8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0.035601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112273" w14:textId="46402676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0.283790</w:t>
            </w:r>
          </w:p>
        </w:tc>
      </w:tr>
      <w:tr w:rsidR="006067D2" w:rsidRPr="004F170C" w14:paraId="5398D663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65BB25" w14:textId="5D9B9B4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C938B6" w14:textId="4DEC34C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3.267475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8914F6C" w14:textId="1C7FEBF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0.034394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9A0A9A4" w14:textId="191C450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0.318185</w:t>
            </w:r>
          </w:p>
        </w:tc>
      </w:tr>
      <w:tr w:rsidR="006067D2" w:rsidRPr="004F170C" w14:paraId="2943301B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9657DB1" w14:textId="66AA1D5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93AE17" w14:textId="4724EDF7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2.691230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8A8A6F" w14:textId="5475572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0.028329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EDBB9C" w14:textId="362F725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0.346514</w:t>
            </w:r>
          </w:p>
        </w:tc>
      </w:tr>
      <w:tr w:rsidR="006067D2" w:rsidRPr="004F170C" w14:paraId="4036970D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994CE2" w14:textId="44AB60D9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127421C" w14:textId="4588AF3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2.491041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A1FF501" w14:textId="380039F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0.026221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706F01E" w14:textId="61656AF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0.372735</w:t>
            </w:r>
          </w:p>
        </w:tc>
      </w:tr>
      <w:tr w:rsidR="006067D2" w:rsidRPr="004F170C" w14:paraId="4E05517E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4D93A2" w14:textId="7C5EC17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257364" w14:textId="3113F9D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2.438056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C86605" w14:textId="26E1FB2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0.025664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DFEAB7B" w14:textId="7718AC5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0.398399</w:t>
            </w:r>
          </w:p>
        </w:tc>
      </w:tr>
      <w:tr w:rsidR="006067D2" w:rsidRPr="004F170C" w14:paraId="4E065D91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D143760" w14:textId="341CEE0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9D273B" w14:textId="39C0E67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2.294360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6F6D59A" w14:textId="40F56C55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0.024151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66D669D" w14:textId="0311E67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0.422550</w:t>
            </w:r>
          </w:p>
        </w:tc>
      </w:tr>
      <w:tr w:rsidR="006067D2" w:rsidRPr="004F170C" w14:paraId="3AB99ADD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54056EB" w14:textId="19C023B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0536E01" w14:textId="750F47F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2.135606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BB00723" w14:textId="7C35760C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0.022480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0E9D69" w14:textId="28415AE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0.445030</w:t>
            </w:r>
          </w:p>
        </w:tc>
      </w:tr>
      <w:tr w:rsidR="006067D2" w:rsidRPr="004F170C" w14:paraId="65D1A83A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76E254" w14:textId="706A76C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4D5ACBF" w14:textId="4C9A4591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1.971304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50FB86" w14:textId="1E51E3C6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0.020751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1CDF8E1" w14:textId="652F31EC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0.465781</w:t>
            </w:r>
          </w:p>
        </w:tc>
      </w:tr>
      <w:tr w:rsidR="006067D2" w:rsidRPr="004F170C" w14:paraId="5865EEB4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72FA6C4" w14:textId="0074FA41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A1D840C" w14:textId="04174A2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1.898728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5F87D8" w14:textId="5FDB1779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0.019987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EB27E3" w14:textId="3CE37855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0.485767</w:t>
            </w:r>
          </w:p>
        </w:tc>
      </w:tr>
      <w:tr w:rsidR="006067D2" w:rsidRPr="004F170C" w14:paraId="56790174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8354EB" w14:textId="04B2A87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E5DA566" w14:textId="0BE5CF0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1.703080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99EEE5C" w14:textId="7EF6BBDB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0.017927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12AEAA8" w14:textId="230A5CB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0.503694</w:t>
            </w:r>
          </w:p>
        </w:tc>
      </w:tr>
      <w:tr w:rsidR="006067D2" w:rsidRPr="004F170C" w14:paraId="517FE37F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39917C" w14:textId="1EE1E4E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F33C9" w14:textId="3618DE0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1.445568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C29C09" w14:textId="4D63595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0.015217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EE8BBF7" w14:textId="338A2F01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0.518911</w:t>
            </w:r>
          </w:p>
        </w:tc>
      </w:tr>
      <w:tr w:rsidR="006067D2" w:rsidRPr="004F170C" w14:paraId="52654948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2476723" w14:textId="66B8295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84C880C" w14:textId="6A20C068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1.279122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B0C2880" w14:textId="70ED9B76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0.013464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C7A7EF6" w14:textId="3DBF8F3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0.532375</w:t>
            </w:r>
          </w:p>
        </w:tc>
      </w:tr>
      <w:tr w:rsidR="006067D2" w:rsidRPr="004F170C" w14:paraId="3F76AD0F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2B9258D" w14:textId="16ADC42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3E25641" w14:textId="752B2C76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1.238106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D13F91D" w14:textId="33BEF83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0.013033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248D742" w14:textId="59514BF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0.545408</w:t>
            </w:r>
          </w:p>
        </w:tc>
      </w:tr>
      <w:tr w:rsidR="006067D2" w:rsidRPr="004F170C" w14:paraId="1FE5B762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D9E720" w14:textId="28730D3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0849CD4" w14:textId="5AEB167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1.232648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A814190" w14:textId="0A110D4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0.012975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BD1543" w14:textId="725F268F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0.558383</w:t>
            </w:r>
          </w:p>
        </w:tc>
      </w:tr>
      <w:tr w:rsidR="006067D2" w:rsidRPr="004F170C" w14:paraId="282DFB47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AB8F0CF" w14:textId="7652B10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lastRenderedPageBreak/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3FB169B" w14:textId="754439E9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1.075449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29F173E" w14:textId="111F2C56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0.011321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C4B84AE" w14:textId="0A53FB8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0.569704</w:t>
            </w:r>
          </w:p>
        </w:tc>
      </w:tr>
      <w:tr w:rsidR="006067D2" w:rsidRPr="004F170C" w14:paraId="07612AAB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0D9436" w14:textId="1F10C6E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EFB7EAF" w14:textId="599BA4CC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1.054267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137D9B8" w14:textId="0CAD8D1B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0.011098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6A808A9" w14:textId="35D54F54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0.580801</w:t>
            </w:r>
          </w:p>
        </w:tc>
      </w:tr>
      <w:tr w:rsidR="006067D2" w:rsidRPr="004F170C" w14:paraId="00FC2441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5AE96F2" w14:textId="6A982DCC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5E19DEE" w14:textId="0D9E012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0.998361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B746909" w14:textId="31E655C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0.010509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BEE533C" w14:textId="4906659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0.591310</w:t>
            </w:r>
          </w:p>
        </w:tc>
      </w:tr>
      <w:tr w:rsidR="006067D2" w:rsidRPr="004F170C" w14:paraId="32ADB995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07840A" w14:textId="3760C6A8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F6156D8" w14:textId="422336AB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0.988807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4D47EE" w14:textId="6614F97C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0.010408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3CD366D" w14:textId="0A98FD5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0.601719</w:t>
            </w:r>
          </w:p>
        </w:tc>
      </w:tr>
      <w:tr w:rsidR="006067D2" w:rsidRPr="004F170C" w14:paraId="0B66237D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DB555A1" w14:textId="6F313FC5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0A2ECC9" w14:textId="704684D1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0.879964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562B90E" w14:textId="3D43BE89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0.009263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7622659" w14:textId="4BA4ABE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0.610982</w:t>
            </w:r>
          </w:p>
        </w:tc>
      </w:tr>
      <w:tr w:rsidR="006067D2" w:rsidRPr="004F170C" w14:paraId="1CE79285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86C2F53" w14:textId="78AB4CE3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96076D8" w14:textId="6031091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0.867906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4BC0154" w14:textId="34A7AE9F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0.009136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B8BCA95" w14:textId="5ACFE45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0.620117</w:t>
            </w:r>
          </w:p>
        </w:tc>
      </w:tr>
      <w:tr w:rsidR="006067D2" w:rsidRPr="004F170C" w14:paraId="0BE1AA50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ECAA5E" w14:textId="12D5CF5D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450BEE0" w14:textId="7B9A662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0.733595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8B7726B" w14:textId="72494FEC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0.007722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0AD1A96" w14:textId="72423DA9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0.627840</w:t>
            </w:r>
          </w:p>
        </w:tc>
      </w:tr>
      <w:tr w:rsidR="006067D2" w:rsidRPr="004F170C" w14:paraId="2812F4A6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B4F6CEB" w14:textId="46928C2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61125F01" w14:textId="2725142B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0.687491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8D393B0" w14:textId="516C29DB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0.007237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07D5971D" w14:textId="21E1A3BF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0.635076</w:t>
            </w:r>
          </w:p>
        </w:tc>
      </w:tr>
      <w:tr w:rsidR="006067D2" w:rsidRPr="004F170C" w14:paraId="068601A6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A405839" w14:textId="68F0A88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1856D55" w14:textId="5D48A861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0.633559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6C01BA3" w14:textId="437FF99F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0.006669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2F11A2D" w14:textId="29B68828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0.641745</w:t>
            </w:r>
          </w:p>
        </w:tc>
      </w:tr>
      <w:tr w:rsidR="006067D2" w:rsidRPr="004F170C" w14:paraId="3604D81C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DF9F3DA" w14:textId="326F8B3A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90CD506" w14:textId="4AEBD5C0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0.612371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5C55376C" w14:textId="010DF51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0.006446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4C3C07D2" w14:textId="6B65F27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0.648191</w:t>
            </w:r>
          </w:p>
        </w:tc>
      </w:tr>
      <w:tr w:rsidR="006067D2" w:rsidRPr="004F170C" w14:paraId="0978399C" w14:textId="77777777" w:rsidTr="004F170C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72E37552" w14:textId="548D66EE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1B18D21D" w14:textId="1095064B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0.488845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224157D0" w14:textId="07EFAE18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0.005146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14:paraId="3FD27FA8" w14:textId="5C74A3C2" w:rsidR="006067D2" w:rsidRPr="004F170C" w:rsidRDefault="006067D2" w:rsidP="006067D2">
            <w:pPr>
              <w:widowControl/>
              <w:jc w:val="right"/>
              <w:rPr>
                <w:rFonts w:ascii="Segoe UI" w:eastAsia="宋体" w:hAnsi="Segoe UI" w:cs="Segoe UI"/>
                <w:kern w:val="0"/>
                <w:szCs w:val="21"/>
                <w14:ligatures w14:val="none"/>
              </w:rPr>
            </w:pPr>
            <w:r w:rsidRPr="006067D2">
              <w:rPr>
                <w:rFonts w:ascii="Segoe UI" w:hAnsi="Segoe UI" w:cs="Segoe UI"/>
                <w:szCs w:val="21"/>
              </w:rPr>
              <w:t>0.653337</w:t>
            </w:r>
          </w:p>
        </w:tc>
      </w:tr>
    </w:tbl>
    <w:p w14:paraId="53A0D42E" w14:textId="584E58B0" w:rsidR="00D42365" w:rsidRDefault="00D42365" w:rsidP="00081C54"/>
    <w:p w14:paraId="60D55E01" w14:textId="1583585D" w:rsidR="00081C54" w:rsidRDefault="004F170C" w:rsidP="00081C54">
      <w:r>
        <w:rPr>
          <w:rFonts w:hint="eastAsia"/>
        </w:rPr>
        <w:t>（4）旋转前后的负载矩阵</w:t>
      </w:r>
    </w:p>
    <w:p w14:paraId="6FCE3FD0" w14:textId="6F32F779" w:rsidR="004F170C" w:rsidRDefault="004F170C" w:rsidP="00081C54">
      <w:r>
        <w:rPr>
          <w:rFonts w:hint="eastAsia"/>
        </w:rPr>
        <w:t>（5）载荷矩阵（旋转后）可视化</w:t>
      </w:r>
    </w:p>
    <w:p w14:paraId="5A6F8547" w14:textId="77777777" w:rsidR="00645E45" w:rsidRDefault="00645E45" w:rsidP="00081C54">
      <w:r w:rsidRPr="00645E45">
        <w:rPr>
          <w:noProof/>
        </w:rPr>
        <w:drawing>
          <wp:inline distT="0" distB="0" distL="0" distR="0" wp14:anchorId="245BAB26" wp14:editId="04A28777">
            <wp:extent cx="5274310" cy="482600"/>
            <wp:effectExtent l="0" t="0" r="2540" b="0"/>
            <wp:docPr id="19389891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891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5E7E" w14:textId="14AD01C5" w:rsidR="00645E45" w:rsidRDefault="00645E45" w:rsidP="00081C54">
      <w:r>
        <w:rPr>
          <w:noProof/>
        </w:rPr>
        <w:drawing>
          <wp:inline distT="0" distB="0" distL="0" distR="0" wp14:anchorId="28BD90E1" wp14:editId="2CAA5544">
            <wp:extent cx="5274310" cy="1610360"/>
            <wp:effectExtent l="0" t="0" r="2540" b="8890"/>
            <wp:docPr id="1569428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FA595" w14:textId="560A0BB2" w:rsidR="004F170C" w:rsidRDefault="004F170C" w:rsidP="00081C54">
      <w:r w:rsidRPr="004F170C">
        <w:rPr>
          <w:noProof/>
        </w:rPr>
        <w:lastRenderedPageBreak/>
        <w:drawing>
          <wp:inline distT="0" distB="0" distL="0" distR="0" wp14:anchorId="3340292B" wp14:editId="5BE49DF6">
            <wp:extent cx="5274310" cy="3971925"/>
            <wp:effectExtent l="0" t="0" r="2540" b="9525"/>
            <wp:docPr id="20166810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81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0125" w14:textId="5728979D" w:rsidR="004F170C" w:rsidRDefault="004F170C" w:rsidP="00081C54">
      <w:r w:rsidRPr="004F170C">
        <w:rPr>
          <w:rFonts w:hint="eastAsia"/>
        </w:rPr>
        <w:t>因子载荷是变量与公共因子的相关系数，某变量在某公共因子中的载荷绝对值越大，表明该变量与该公共因子更密切，即该公共因子更能代表该变量。由此可知</w:t>
      </w:r>
      <w:r w:rsidR="00645E45">
        <w:rPr>
          <w:rFonts w:hint="eastAsia"/>
        </w:rPr>
        <w:t>，上图中与某因子对应变量的颜色越深（因子载荷越接近1），公共因子对该变量的代表性越强。</w:t>
      </w:r>
    </w:p>
    <w:p w14:paraId="702C4D72" w14:textId="7DD8683B" w:rsidR="00645E45" w:rsidRDefault="00645E45" w:rsidP="00081C54">
      <w:r>
        <w:rPr>
          <w:rFonts w:hint="eastAsia"/>
        </w:rPr>
        <w:t>（6）用29个公共因子转化原始数据</w:t>
      </w:r>
    </w:p>
    <w:p w14:paraId="5B682545" w14:textId="77777777" w:rsidR="00645E45" w:rsidRDefault="00645E45" w:rsidP="00081C54"/>
    <w:p w14:paraId="270B905E" w14:textId="3FC900A3" w:rsidR="00645E45" w:rsidRDefault="00645E45" w:rsidP="00081C54">
      <w:r>
        <w:rPr>
          <w:rFonts w:hint="eastAsia"/>
        </w:rPr>
        <w:t>7.各公司评分</w:t>
      </w:r>
    </w:p>
    <w:p w14:paraId="7BD1E049" w14:textId="7555B112" w:rsidR="00645E45" w:rsidRDefault="0016667B" w:rsidP="00081C54">
      <w:r w:rsidRPr="0016667B">
        <w:rPr>
          <w:rFonts w:hint="eastAsia"/>
        </w:rPr>
        <w:t>以</w:t>
      </w:r>
      <w:r w:rsidRPr="0016667B">
        <w:t>2个公因子得分为基础，再以每个因子的方差</w:t>
      </w:r>
      <w:r>
        <w:rPr>
          <w:rFonts w:hint="eastAsia"/>
        </w:rPr>
        <w:t>贡献</w:t>
      </w:r>
      <w:r w:rsidRPr="0016667B">
        <w:t>率为权数进行线性加权平均，最后得到一个综合得分</w:t>
      </w:r>
    </w:p>
    <w:p w14:paraId="377A4AFB" w14:textId="24004911" w:rsidR="0016667B" w:rsidRDefault="0016667B" w:rsidP="00081C54">
      <w:r>
        <w:rPr>
          <w:rFonts w:hint="eastAsia"/>
        </w:rPr>
        <w:t>经营状况得分前20的公司:</w:t>
      </w:r>
    </w:p>
    <w:p w14:paraId="73A28ECC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5257    48.057062</w:t>
      </w:r>
    </w:p>
    <w:p w14:paraId="3E4D20D2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4023    43.556678</w:t>
      </w:r>
    </w:p>
    <w:p w14:paraId="2FF0E3BE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2364    43.485218</w:t>
      </w:r>
    </w:p>
    <w:p w14:paraId="475DC67E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5609    43.390362</w:t>
      </w:r>
    </w:p>
    <w:p w14:paraId="73949AC6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2248    43.277768</w:t>
      </w:r>
    </w:p>
    <w:p w14:paraId="27029751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2055    43.116630</w:t>
      </w:r>
    </w:p>
    <w:p w14:paraId="2973BBCB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4037    43.064975</w:t>
      </w:r>
    </w:p>
    <w:p w14:paraId="57F82B85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4185    43.021474</w:t>
      </w:r>
    </w:p>
    <w:p w14:paraId="66AA5FCF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2388    43.019346</w:t>
      </w:r>
    </w:p>
    <w:p w14:paraId="312A87E1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5808    42.783499</w:t>
      </w:r>
    </w:p>
    <w:p w14:paraId="47AB89FF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730     42.780950</w:t>
      </w:r>
    </w:p>
    <w:p w14:paraId="1AD9CB83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2971    42.748179</w:t>
      </w:r>
    </w:p>
    <w:p w14:paraId="30612C32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2984    42.685824</w:t>
      </w:r>
    </w:p>
    <w:p w14:paraId="1AE93835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3988    42.640005</w:t>
      </w:r>
    </w:p>
    <w:p w14:paraId="001E0C05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lastRenderedPageBreak/>
        <w:t>3239    42.560465</w:t>
      </w:r>
    </w:p>
    <w:p w14:paraId="1BBFC93A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4681    42.375385</w:t>
      </w:r>
    </w:p>
    <w:p w14:paraId="27976C66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4202    42.339077</w:t>
      </w:r>
    </w:p>
    <w:p w14:paraId="77263B00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4910    42.332457</w:t>
      </w:r>
    </w:p>
    <w:p w14:paraId="10B266D0" w14:textId="77777777" w:rsidR="0016667B" w:rsidRPr="0016667B" w:rsidRDefault="0016667B" w:rsidP="0016667B">
      <w:pPr>
        <w:widowControl/>
        <w:jc w:val="left"/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756     42.217555</w:t>
      </w:r>
    </w:p>
    <w:p w14:paraId="27AEA3BC" w14:textId="271EFE20" w:rsidR="0016667B" w:rsidRDefault="0016667B" w:rsidP="0016667B">
      <w:pPr>
        <w:rPr>
          <w:rFonts w:ascii="Consolas" w:eastAsia="宋体" w:hAnsi="Consolas" w:cs="宋体"/>
          <w:kern w:val="0"/>
          <w:szCs w:val="21"/>
          <w14:ligatures w14:val="none"/>
        </w:rPr>
      </w:pPr>
      <w:r w:rsidRPr="0016667B">
        <w:rPr>
          <w:rFonts w:ascii="Consolas" w:eastAsia="宋体" w:hAnsi="Consolas" w:cs="宋体"/>
          <w:kern w:val="0"/>
          <w:szCs w:val="21"/>
          <w14:ligatures w14:val="none"/>
        </w:rPr>
        <w:t>801     42.164587</w:t>
      </w:r>
    </w:p>
    <w:p w14:paraId="5E69C1B7" w14:textId="33CA7F0E" w:rsidR="0016667B" w:rsidRPr="0016667B" w:rsidRDefault="0016667B" w:rsidP="0016667B"/>
    <w:sectPr w:rsidR="0016667B" w:rsidRPr="001666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aTeX_Math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139"/>
    <w:rsid w:val="000076D1"/>
    <w:rsid w:val="0002558A"/>
    <w:rsid w:val="00034094"/>
    <w:rsid w:val="00081C54"/>
    <w:rsid w:val="001431F7"/>
    <w:rsid w:val="0016667B"/>
    <w:rsid w:val="001A4661"/>
    <w:rsid w:val="001C52DC"/>
    <w:rsid w:val="00272AC1"/>
    <w:rsid w:val="002E4931"/>
    <w:rsid w:val="004F170C"/>
    <w:rsid w:val="006067D2"/>
    <w:rsid w:val="00645E45"/>
    <w:rsid w:val="007E6EC0"/>
    <w:rsid w:val="008632AA"/>
    <w:rsid w:val="009B7BD0"/>
    <w:rsid w:val="00A60630"/>
    <w:rsid w:val="00A8455B"/>
    <w:rsid w:val="00BB1C7A"/>
    <w:rsid w:val="00C32139"/>
    <w:rsid w:val="00D42365"/>
    <w:rsid w:val="00DF076D"/>
    <w:rsid w:val="00E94858"/>
    <w:rsid w:val="00F10B64"/>
    <w:rsid w:val="00F22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AB03C"/>
  <w15:chartTrackingRefBased/>
  <w15:docId w15:val="{A34D087A-101E-4F10-8A41-497A6979B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katex-mathml">
    <w:name w:val="katex-mathml"/>
    <w:basedOn w:val="a0"/>
    <w:rsid w:val="0002558A"/>
  </w:style>
  <w:style w:type="character" w:customStyle="1" w:styleId="mord">
    <w:name w:val="mord"/>
    <w:basedOn w:val="a0"/>
    <w:rsid w:val="0002558A"/>
  </w:style>
  <w:style w:type="character" w:customStyle="1" w:styleId="vlist-s">
    <w:name w:val="vlist-s"/>
    <w:basedOn w:val="a0"/>
    <w:rsid w:val="000255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418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2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776</Words>
  <Characters>4428</Characters>
  <Application>Microsoft Office Word</Application>
  <DocSecurity>0</DocSecurity>
  <Lines>36</Lines>
  <Paragraphs>10</Paragraphs>
  <ScaleCrop>false</ScaleCrop>
  <Company/>
  <LinksUpToDate>false</LinksUpToDate>
  <CharactersWithSpaces>5194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如酒 夏</dc:creator>
  <cp:keywords/>
  <dc:description/>
  <cp:lastModifiedBy>2251804@tongji.edu.cn</cp:lastModifiedBy>
  <cp:revision>2</cp:revision>
  <dcterms:created xsi:type="dcterms:W3CDTF">2024-07-06T12:58:00Z</dcterms:created>
  <dcterms:modified xsi:type="dcterms:W3CDTF">2024-07-06T12:58:00Z</dcterms:modified>
</cp:coreProperties>
</file>