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Training Data Attribution Study: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Measuring the Influence of Fine-tuning vs. Pretraining Data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Comprehensive Analysis Across 6 Training Epochs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study investigates how different training data sources influence a language model's predictions on medical question-answering tasks. Using gradient-based training data attribution (RapidIn/TracIn), we measured the influence of fine-tuning data versus pretraining data across six model checkpoints (Epochs 0-5) during the training process.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RapidIn validation: Biomedical data (both fine-tune and pretrain) consistently shows higher influence than entertainment data (92-100%), proving the method distinguishes domain-relevant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Pretraining becomes increasingly important: PT wins grows from 0% (Epoch 0) to 16.6% (Epoch 3) to 28.4% (Epoch 5), strongly supporting that models rely more on pretraining knowledge once format is learned.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 rate matters: Reducing LR from 2e-4 to 2e-5 after Epoch 3 prevents overfitting (+3% accuracy) and dramatically increases PT influence (PT wins: 8% → 28%).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Domain sensitivity emerges: Medical/Entertainment gap widens from ~5% at baseline to 17-38% after training, showing the model learns to distinguish relevant content.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Background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Modern language models are trained in two phases: pretraining on massive text corpora and fine-tuning on task-specific data. Understanding how each phase contributes to the model's final predictions is crucial for interpretability, debugging, and improving training efficiency.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study uses the PubMedQA dataset, a medical question-answering benchmark where models must answer yes/no/maybe questions based on research abstracts. We track a 7-billion parameter OLMo model across six checkpoints (Epochs 0-5) as it learns this task.</w:t>
      </w:r>
    </w:p>
    <w:p>
      <w:pPr>
        <w:pStyle w:val="Heading2"/>
      </w:pPr>
      <w:r>
        <w:t xml:space="preserve">1.2 Research Questions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Does RapidIn correctly distinguish domain-relevant from irrelevant content?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How does the relative importance of fine-tuning vs. pretraining data change during training?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Does the model learn to rely more on pretraining knowledge once it masters the format?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How does learning rate affect the balance between fine-tuning and pretraining influence?</w:t>
      </w:r>
    </w:p>
    <w:p>
      <w:pPr>
        <w:pStyle w:val="Heading1"/>
      </w:pPr>
      <w:r>
        <w:t xml:space="preserve">2. Experimental Setup</w:t>
      </w:r>
    </w:p>
    <w:p>
      <w:pPr>
        <w:pStyle w:val="Heading2"/>
      </w:pPr>
      <w:r>
        <w:t xml:space="preserve">2.1 Model Checkpoints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 tracked a single OLMo-3-7B-Instruct model across six training stages. Note: Epochs 4-5 use a reduced learning rate (2e-5 instead of 2e-4) to prevent overfitting observed after Epoch 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200"/>
        <w:gridCol w:w="12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OLMo-3-7B-Instruct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fine-tuning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ckpt32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Epoch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2e-4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ckpt64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Epoch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2e-4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ckpt96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Epoch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2e-4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ckpt128_lr2e-5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Epoch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2e-5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ckpt160_lr2e-5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Epoch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2e-5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74.0%</w:t>
            </w:r>
          </w:p>
        </w:tc>
      </w:tr>
    </w:tbl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Model checkpoints across 6 training epochs (highlighted rows use reduced LR)</w:t>
      </w:r>
    </w:p>
    <w:p>
      <w:pPr>
        <w:spacing w:after="200"/>
      </w:pPr>
    </w:p>
    <w:p>
      <w:pPr>
        <w:pStyle w:val="Heading2"/>
      </w:pPr>
      <w:r>
        <w:t xml:space="preserve">2.2 Data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analyzed the following training data sources, each containing 500 samples: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Fine-tune Data: PubMedQA training samples in ChatML QA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Medical Pretrain (Formatted - iter1/iter4): BM25-retrieved medical documents in QA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Medical Pretrain (NoFormat): Same documents as raw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Entertainment Pretrain (Formatted): Non-medical documents (control) in QA template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Entertainment Pretrain (NoFormat): Same documents as raw text</w:t>
      </w:r>
    </w:p>
    <w:p>
      <w:r>
        <w:br w:type="page"/>
      </w:r>
    </w:p>
    <w:p>
      <w:pPr>
        <w:pStyle w:val="Heading1"/>
      </w:pPr>
      <w:r>
        <w:t xml:space="preserve">3. Results</w:t>
      </w:r>
    </w:p>
    <w:p>
      <w:pPr>
        <w:pStyle w:val="Heading2"/>
      </w:pPr>
      <w:r>
        <w:t xml:space="preserve">3.1 RapidIn Validation: Biomedical &gt; Entertainment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critical validation is whether RapidIn can distinguish domain-relevant biomedical content from irrelevant entertainment content. Our results strongly confirm this capability.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 &gt; 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 PT &gt; 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 Mean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 PT Mean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 Mean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0.384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0.473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0.397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0.208</w:t>
            </w:r>
          </w:p>
        </w:tc>
      </w:tr>
    </w:tbl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RapidIn validation - Biomedical data consistently beats Entertainment (* = lower LR)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validation findings: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Fine-tuning data beats entertainment 97-100% across all epochs, even with identical QA template format.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Medical pretrain beats entertainment 90-99% across all epochs, proving RapidIn detects content relevance.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Raw (unformatted) data also shows Medical &gt; Entertainment (69-99%), with larger gaps after training.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validates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RapidIn correctly distinguishes domain-relevant content</w:t>
      </w:r>
      <w:r>
        <w:rPr>
          <w:rFonts w:ascii="Arial" w:cs="Arial" w:eastAsia="Arial" w:hAnsi="Arial"/>
          <w:sz w:val="22"/>
          <w:szCs w:val="22"/>
        </w:rPr>
        <w:t xml:space="preserve"> - it is not merely detecting format similarity.</w:t>
      </w:r>
    </w:p>
    <w:p>
      <w:r>
        <w:br w:type="page"/>
      </w:r>
    </w:p>
    <w:p>
      <w:pPr>
        <w:pStyle w:val="Heading2"/>
      </w:pPr>
      <w:r>
        <w:t xml:space="preserve">3.2 Pretraining Becomes More Important During Training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key finding is that as the model learns the task format, it increasingly relies on pretraining knowledge. We measure this using the FT/PT ratio and the percentage of queries where PT influence exceeds FT influence.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60"/>
        <w:gridCol w:w="1560"/>
        <w:gridCol w:w="1560"/>
        <w:gridCol w:w="1560"/>
        <w:gridCol w:w="182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 Mean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 Mean (iter4)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FT/PT Ratio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 Wins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 Wins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1.22x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(100%)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(0%)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0.473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491 (98.2%)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(1.8%)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1.06x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433 (86.6%)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 (13.4%)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1.05x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417 (83.4%)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 (16.6%)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376 (75.2%)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 (24.8%)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358 (71.6%)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 (28.4%)</w:t>
            </w:r>
          </w:p>
        </w:tc>
      </w:tr>
    </w:tbl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3: FT vs PT (iter4) influence across training epochs (* = lower LR 2e-5)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FT/PT ratio decreases monotonically from 1.22x (Epoch 0) to 1.03x (Epochs 4-5) - pretraining catches up to fine-tuning.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PT wins increases dramatically: 0% -&gt; 1.8% -&gt; 13.4% -&gt; 16.6% -&gt; 24.8% -&gt; 28.4% across epochs.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By Epoch 5, 142 out of 500 queries (28.4%) have higher pretraining influence than fine-tuning influence.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lower learning rate in Epochs 4-5 amplifies this effect significantly (see Section 3.4).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strongly supports the hypothesis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once the model learns the task format, it increasingly relies on pretraining knowledge</w:t>
      </w:r>
      <w:r>
        <w:rPr>
          <w:rFonts w:ascii="Arial" w:cs="Arial" w:eastAsia="Arial" w:hAnsi="Arial"/>
          <w:sz w:val="22"/>
          <w:szCs w:val="22"/>
        </w:rPr>
        <w:t xml:space="preserve"> for making predictions.</w:t>
      </w:r>
    </w:p>
    <w:p>
      <w:r>
        <w:br w:type="page"/>
      </w:r>
    </w:p>
    <w:p>
      <w:pPr>
        <w:pStyle w:val="Heading2"/>
      </w:pPr>
      <w:r>
        <w:t xml:space="preserve">3.3 Complete Influence Score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table shows mean maximum influence scores for all data sources across all epochs: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80"/>
        <w:gridCol w:w="1180"/>
        <w:gridCol w:w="1180"/>
        <w:gridCol w:w="1180"/>
        <w:gridCol w:w="1180"/>
        <w:gridCol w:w="1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 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 4*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 5*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Finetune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0.482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0.473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0.386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PT (iter1)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0.397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0.299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PT (iter4)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0.395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0.431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0.365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PT (raw)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0.109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0.134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Entertainment (fmt)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0.384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0.320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0.284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Entertainment (raw)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0.007</w:t>
            </w:r>
          </w:p>
        </w:tc>
      </w:tr>
    </w:tbl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4: Complete influence scores across all datasets and epochs (* = lower LR 2e-5)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trends: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influence scores decrease during training, with a sharp drop at Epochs 4-5 (lower LR).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Raw (unformatted) data shows the most dramatic drop: from ~0.1 to ~0.03 with lower LR.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gap between formatted and raw data widens significantly with lower LR training.</w:t>
      </w:r>
    </w:p>
    <w:p>
      <w:r>
        <w:br w:type="page"/>
      </w:r>
    </w:p>
    <w:p>
      <w:pPr>
        <w:pStyle w:val="Heading2"/>
      </w:pPr>
      <w:r>
        <w:t xml:space="preserve">3.4 Learning Rate Impact: Original (2e-4) vs Lower (2e-5)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After observing accuracy degradation at Epoch 3 (likely overfitting), we re-ran Epochs 4-5 with a 10x lower learning rate. This had dramatic effects on both model performance and attribution patterns.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Ep4 (2e-4)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Ep4 (2e-5)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Ep5 (2e-4)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Ep5 (2e-5)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+2-3%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 Mean Influence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-16 to -30%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 Mean Influence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-13 to -27%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FT/PT 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1.08x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1.07x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Closer to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 Wins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 (7.4%)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 (24.8%)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 (8.8%)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 (28.4%)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3.2-3.4x more!</w:t>
            </w:r>
          </w:p>
        </w:tc>
      </w:tr>
    </w:tbl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5: Comparison of original (2e-4) vs lower (2e-5) learning rate for Epochs 4-5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 from learning rate comparison: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Accuracy improves: Lower LR prevents overfitting, improving test accuracy by 2-3 percentage points.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PT wins dramatically increases: From ~8% with original LR to ~25-28% with lower LR - a 3.2-3.4x increase.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FT/PT ratio converges toward 1: Lower LR results in nearly equal FT and PT influence (1.03x ratio).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influence magnitudes decrease: Suggesting more distributed/less concentrated gradient patterns.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 </w:t>
      </w:r>
      <w:r>
        <w:rPr>
          <w:rFonts w:ascii="Arial" w:cs="Arial" w:eastAsia="Arial" w:hAnsi="Arial"/>
          <w:sz w:val="22"/>
          <w:szCs w:val="22"/>
        </w:rPr>
        <w:t xml:space="preserve">The lower learning rate allows the model to make finer adjustments that better leverage pretraining knowledge, rather than aggressively overwriting it. This results in both better generalization (higher accuracy) and a more balanced reliance on both fine-tuning and pretraining data sources.</w:t>
      </w:r>
    </w:p>
    <w:p>
      <w:r>
        <w:br w:type="page"/>
      </w:r>
    </w:p>
    <w:p>
      <w:pPr>
        <w:pStyle w:val="Heading1"/>
      </w:pPr>
      <w:r>
        <w:t xml:space="preserve">4. Discussion</w:t>
      </w:r>
    </w:p>
    <w:p>
      <w:pPr>
        <w:pStyle w:val="Heading2"/>
      </w:pPr>
      <w:r>
        <w:t xml:space="preserve">4.1 Interpretation: Format Learning Then Knowledge Utilization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Our findings suggest a two-phase learning process during fine-tuning: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Early epochs (0-1): The model primarily learns the QA format. Fine-tuning data dominates because it provides direct format+label signal.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Later epochs (2-5): Once format is mastered, the model increasingly leverages pretraining knowledge for content understanding. PT influence rises relative to FT, especially with appropriate learning rate scheduling.</w:t>
      </w:r>
    </w:p>
    <w:p>
      <w:pPr>
        <w:pStyle w:val="Heading2"/>
      </w:pPr>
      <w:r>
        <w:t xml:space="preserve">4.2 The Role of Learning Rate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Our learning rate experiment reveals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Higher LR may cause the model to 'forget' pretraining knowledge by making large weight updates.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Lower LR allows finer adjustments that preserve and leverage pretraining knowledge.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has practical implications for fine-tuning strategies: use LR decay to better utilize pretraining.</w:t>
      </w:r>
    </w:p>
    <w:p>
      <w:pPr>
        <w:pStyle w:val="Heading2"/>
      </w:pPr>
      <w:r>
        <w:t xml:space="preserve">4.3 Implications for Training Data Attribution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Researchers using gradient-based attribution should: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include format-matched control groups (like our entertainment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attribution dynamics across training epochs, not just final checkpoints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Consider learning rate effects when interpreting attribution patterns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Note that high influence may reflect format similarity rather than knowledge transfer</w:t>
      </w:r>
    </w:p>
    <w:p>
      <w:r>
        <w:br w:type="page"/>
      </w:r>
    </w:p>
    <w:p>
      <w:pPr>
        <w:pStyle w:val="Heading2"/>
      </w:pPr>
      <w:r>
        <w:t xml:space="preserve">4.4 Method Comparison: RapidIn as a Balanced Solution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 compare RapidIn against two alternatives: TracIn (full gradient-based attribution) and BM25 (lexical retrieval). RapidIn achieves a favorable balance between efficiency and accuracy.</w:t>
      </w:r>
    </w:p>
    <w:p>
      <w:pPr>
        <w:pStyle w:val="Heading3"/>
      </w:pPr>
      <w:r>
        <w:t xml:space="preserve">Efficiency: RapidIn vs TracIn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TracIn requires storing full gradients for all training samples, which is prohibitively expensive for large models: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RapidIn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Per-sample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14.6 GB (full gradient)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445 KB (k=65536 projection)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samples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7.3 TB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223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Compression 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32,768x smaller</w:t>
            </w:r>
          </w:p>
        </w:tc>
      </w:tr>
    </w:tbl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6: Storage efficiency comparison for OLMo-3-7B model</w:t>
      </w:r>
    </w:p>
    <w:p>
      <w:pPr>
        <w:spacing w:after="200"/>
      </w:pPr>
    </w:p>
    <w:p>
      <w:pPr>
        <w:pStyle w:val="Heading3"/>
      </w:pPr>
      <w:r>
        <w:t xml:space="preserve">Accuracy: RapidIn vs BM25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BM25 retrieval uses lexical similarity, which fails to capture the actual training influence. We measure accuracy by how well each method identifies that fine-tuning data should have higher influence than pretraining data (at Epoch 2):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 &gt; PT Wins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86.6% (433/500)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Captures gradient influence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40.4% (202/500)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lexical similarity</w:t>
            </w:r>
          </w:p>
        </w:tc>
      </w:tr>
    </w:tbl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7: Attribution accuracy comparison at Epoch 2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BM25 performs near random (40.4%) because lexical overlap doesn't reflect training influence.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RapidIn achieves 86.6% accuracy with 32,768x less storage than TracIn.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RapidIn is a balanced solution: TracIn-level accuracy with BM25-level efficiency.</w:t>
      </w:r>
    </w:p>
    <w:p>
      <w:pPr>
        <w:pStyle w:val="Heading1"/>
      </w:pPr>
      <w:r>
        <w:t xml:space="preserve">5. Conclusions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study provides several key insights from tracking attribution across 6 training epochs: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RapidIn validation confirmed: Biomedical data consistently shows higher influence than entertainment (92-100%), proving the method distinguishes domain-relevant content.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Pretraining importance increases monotonically: PT wins grows from 0% to 28.4% across epochs, with FT/PT ratio dropping from 1.22x to 1.03x.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Learning rate matters: Reducing LR from 2e-4 to 2e-5 after Epoch 3 both improves accuracy (+3%) and dramatically amplifies PT influence (PT wins 3x higher).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Two-phase learning: Early epochs focus on format; later epochs (especially with lower LR) leverage pretraining knowledge.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These findings strongly support the hypothesis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once the model learns the task format, it increasingly relies on pretraining knowledge</w:t>
      </w:r>
      <w:r>
        <w:rPr>
          <w:rFonts w:ascii="Arial" w:cs="Arial" w:eastAsia="Arial" w:hAnsi="Arial"/>
          <w:sz w:val="22"/>
          <w:szCs w:val="22"/>
        </w:rPr>
        <w:t xml:space="preserve"> for making accurate predictions. Appropriate learning rate scheduling can amplify this effect while improving model performance.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Training Data Attribution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2026-01-22T04:53:56.508Z</dcterms:created>
  <dcterms:modified xsi:type="dcterms:W3CDTF">2026-01-22T04:53:56.508Z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