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2240" w:w="15840" w:orient="landscape"/>
          <w:pgMar w:bottom="1440" w:top="1440" w:left="1440" w:right="1440" w:header="720" w:footer="720"/>
          <w:pgNumType w:start="1"/>
        </w:sectPr>
      </w:pPr>
      <w:bookmarkStart w:colFirst="0" w:colLast="0" w:name="_ko4xi1i0lsg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RafiqAI Pitchdeck for Go Together Accelerator</w:t>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Rafiq? Company Purpose</w:t>
      </w:r>
    </w:p>
    <w:p w:rsidR="00000000" w:rsidDel="00000000" w:rsidP="00000000" w:rsidRDefault="00000000" w:rsidRPr="00000000" w14:paraId="00000005">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&amp; solution in same slide</w:t>
      </w:r>
    </w:p>
    <w:p w:rsidR="00000000" w:rsidDel="00000000" w:rsidP="00000000" w:rsidRDefault="00000000" w:rsidRPr="00000000" w14:paraId="00000006">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now? Existing chronic problem, AI presents an opportunity to address this problem to scale</w:t>
      </w:r>
    </w:p>
    <w:p w:rsidR="00000000" w:rsidDel="00000000" w:rsidP="00000000" w:rsidRDefault="00000000" w:rsidRPr="00000000" w14:paraId="00000007">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 add potential features from user scenarios</w:t>
      </w:r>
    </w:p>
    <w:p w:rsidR="00000000" w:rsidDel="00000000" w:rsidP="00000000" w:rsidRDefault="00000000" w:rsidRPr="00000000" w14:paraId="00000008">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 of market??</w:t>
      </w:r>
    </w:p>
    <w:p w:rsidR="00000000" w:rsidDel="00000000" w:rsidP="00000000" w:rsidRDefault="00000000" w:rsidRPr="00000000" w14:paraId="00000009">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strength is our team</w:t>
      </w:r>
    </w:p>
    <w:p w:rsidR="00000000" w:rsidDel="00000000" w:rsidP="00000000" w:rsidRDefault="00000000" w:rsidRPr="00000000" w14:paraId="0000000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Competition : add competing apps from US that I found for LiP</w:t>
      </w:r>
    </w:p>
    <w:p w:rsidR="00000000" w:rsidDel="00000000" w:rsidP="00000000" w:rsidRDefault="00000000" w:rsidRPr="00000000" w14:paraId="0000000B">
      <w:pPr>
        <w:numPr>
          <w:ilvl w:val="1"/>
          <w:numId w:val="4"/>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some tools available that are focused on organizing administrative issues related to supervision and field experiences. That includes automating placement, evaluation and tracking activity logs. This can be seen in a platform like </w:t>
      </w:r>
      <w:hyperlink r:id="rId6">
        <w:r w:rsidDel="00000000" w:rsidR="00000000" w:rsidRPr="00000000">
          <w:rPr>
            <w:rFonts w:ascii="Times New Roman" w:cs="Times New Roman" w:eastAsia="Times New Roman" w:hAnsi="Times New Roman"/>
            <w:color w:val="1155cc"/>
            <w:sz w:val="24"/>
            <w:szCs w:val="24"/>
            <w:u w:val="single"/>
            <w:rtl w:val="0"/>
          </w:rPr>
          <w:t xml:space="preserve">Supervisionassist</w:t>
        </w:r>
      </w:hyperlink>
      <w:r w:rsidDel="00000000" w:rsidR="00000000" w:rsidRPr="00000000">
        <w:rPr>
          <w:rFonts w:ascii="Times New Roman" w:cs="Times New Roman" w:eastAsia="Times New Roman" w:hAnsi="Times New Roman"/>
          <w:sz w:val="24"/>
          <w:szCs w:val="24"/>
          <w:rtl w:val="0"/>
        </w:rPr>
        <w:t xml:space="preserve">. Another platform called </w:t>
      </w:r>
      <w:hyperlink r:id="rId7">
        <w:r w:rsidDel="00000000" w:rsidR="00000000" w:rsidRPr="00000000">
          <w:rPr>
            <w:rFonts w:ascii="Times New Roman" w:cs="Times New Roman" w:eastAsia="Times New Roman" w:hAnsi="Times New Roman"/>
            <w:color w:val="1155cc"/>
            <w:sz w:val="24"/>
            <w:szCs w:val="24"/>
            <w:u w:val="single"/>
            <w:rtl w:val="0"/>
          </w:rPr>
          <w:t xml:space="preserve">Tevera</w:t>
        </w:r>
      </w:hyperlink>
      <w:r w:rsidDel="00000000" w:rsidR="00000000" w:rsidRPr="00000000">
        <w:rPr>
          <w:rFonts w:ascii="Times New Roman" w:cs="Times New Roman" w:eastAsia="Times New Roman" w:hAnsi="Times New Roman"/>
          <w:sz w:val="24"/>
          <w:szCs w:val="24"/>
          <w:rtl w:val="0"/>
        </w:rPr>
        <w:t xml:space="preserve"> offers some extra features with video assessment and program wide reporting. </w:t>
      </w:r>
      <w:hyperlink r:id="rId8">
        <w:r w:rsidDel="00000000" w:rsidR="00000000" w:rsidRPr="00000000">
          <w:rPr>
            <w:rFonts w:ascii="Times New Roman" w:cs="Times New Roman" w:eastAsia="Times New Roman" w:hAnsi="Times New Roman"/>
            <w:color w:val="1155cc"/>
            <w:sz w:val="24"/>
            <w:szCs w:val="24"/>
            <w:u w:val="single"/>
            <w:rtl w:val="0"/>
          </w:rPr>
          <w:t xml:space="preserve">Schoolmint</w:t>
        </w:r>
      </w:hyperlink>
      <w:r w:rsidDel="00000000" w:rsidR="00000000" w:rsidRPr="00000000">
        <w:rPr>
          <w:rFonts w:ascii="Times New Roman" w:cs="Times New Roman" w:eastAsia="Times New Roman" w:hAnsi="Times New Roman"/>
          <w:sz w:val="24"/>
          <w:szCs w:val="24"/>
          <w:rtl w:val="0"/>
        </w:rPr>
        <w:t xml:space="preserve"> is a complete school LMS with a component called “Grow” which is focused on coaching and observations. It helps in-service coaching of teachers by documenting observation notes, documenting coaching observations, and analyzing data from coaching. </w:t>
      </w:r>
    </w:p>
    <w:p w:rsidR="00000000" w:rsidDel="00000000" w:rsidP="00000000" w:rsidRDefault="00000000" w:rsidRPr="00000000" w14:paraId="0000000C">
      <w:pPr>
        <w:numPr>
          <w:ilvl w:val="1"/>
          <w:numId w:val="4"/>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LIP App is different in various ways; first it's an App and not a platform. This makes it easier to use for both Android and Apple phones. Second, LiP supports pre-service teachers’ coaching (mentor teachers - pre-service teacher - university supervisor) not in-service teachers. Third, the intention is that the LiP App will be used to support a partnership coaching model that engages both “fellow” and “partner” teachers in a participatory inquiry process.</w:t>
      </w:r>
    </w:p>
    <w:p w:rsidR="00000000" w:rsidDel="00000000" w:rsidP="00000000" w:rsidRDefault="00000000" w:rsidRPr="00000000" w14:paraId="0000000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Plans for each quarter</w:t>
      </w:r>
    </w:p>
    <w:p w:rsidR="00000000" w:rsidDel="00000000" w:rsidP="00000000" w:rsidRDefault="00000000" w:rsidRPr="00000000" w14:paraId="0000000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Ask: Our needs: economic guidance, which market to begin with? Business model, financials, </w: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o8td3sjabu4" w:id="1"/>
      <w:bookmarkEnd w:id="1"/>
      <w:r w:rsidDel="00000000" w:rsidR="00000000" w:rsidRPr="00000000">
        <w:rPr>
          <w:rFonts w:ascii="Times New Roman" w:cs="Times New Roman" w:eastAsia="Times New Roman" w:hAnsi="Times New Roman"/>
          <w:b w:val="1"/>
          <w:bCs w:val="1"/>
          <w:sz w:val="34"/>
          <w:szCs w:val="34"/>
          <w:rtl w:val="0"/>
        </w:rPr>
        <w:t xml:space="preserve">Egypt</w:t>
      </w:r>
    </w:p>
    <w:p w:rsidR="00000000" w:rsidDel="00000000" w:rsidP="00000000" w:rsidRDefault="00000000" w:rsidRPr="00000000" w14:paraId="00000010">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Egyptian EdTech market</w:t>
      </w:r>
      <w:r w:rsidDel="00000000" w:rsidR="00000000" w:rsidRPr="00000000">
        <w:rPr>
          <w:rFonts w:ascii="Times New Roman" w:cs="Times New Roman" w:eastAsia="Times New Roman" w:hAnsi="Times New Roman"/>
          <w:sz w:val="24"/>
          <w:szCs w:val="24"/>
          <w:rtl w:val="0"/>
        </w:rPr>
        <w:t xml:space="preserve"> is thriving—valued at </w:t>
      </w:r>
      <w:r w:rsidDel="00000000" w:rsidR="00000000" w:rsidRPr="00000000">
        <w:rPr>
          <w:rFonts w:ascii="Times New Roman" w:cs="Times New Roman" w:eastAsia="Times New Roman" w:hAnsi="Times New Roman"/>
          <w:b w:val="1"/>
          <w:bCs w:val="1"/>
          <w:sz w:val="24"/>
          <w:szCs w:val="24"/>
          <w:rtl w:val="0"/>
        </w:rPr>
        <w:t xml:space="preserve">$875 million in 2024</w:t>
      </w:r>
      <w:r w:rsidDel="00000000" w:rsidR="00000000" w:rsidRPr="00000000">
        <w:rPr>
          <w:rFonts w:ascii="Times New Roman" w:cs="Times New Roman" w:eastAsia="Times New Roman" w:hAnsi="Times New Roman"/>
          <w:sz w:val="24"/>
          <w:szCs w:val="24"/>
          <w:rtl w:val="0"/>
        </w:rPr>
        <w:t xml:space="preserve">, and projected to soar to </w:t>
      </w:r>
      <w:r w:rsidDel="00000000" w:rsidR="00000000" w:rsidRPr="00000000">
        <w:rPr>
          <w:rFonts w:ascii="Times New Roman" w:cs="Times New Roman" w:eastAsia="Times New Roman" w:hAnsi="Times New Roman"/>
          <w:b w:val="1"/>
          <w:bCs w:val="1"/>
          <w:sz w:val="24"/>
          <w:szCs w:val="24"/>
          <w:rtl w:val="0"/>
        </w:rPr>
        <w:t xml:space="preserve">$2.38 billion by 2033</w:t>
      </w:r>
      <w:r w:rsidDel="00000000" w:rsidR="00000000" w:rsidRPr="00000000">
        <w:rPr>
          <w:rFonts w:ascii="Times New Roman" w:cs="Times New Roman" w:eastAsia="Times New Roman" w:hAnsi="Times New Roman"/>
          <w:sz w:val="24"/>
          <w:szCs w:val="24"/>
          <w:rtl w:val="0"/>
        </w:rPr>
        <w:t xml:space="preserve">, growing at a </w:t>
      </w:r>
      <w:r w:rsidDel="00000000" w:rsidR="00000000" w:rsidRPr="00000000">
        <w:rPr>
          <w:rFonts w:ascii="Times New Roman" w:cs="Times New Roman" w:eastAsia="Times New Roman" w:hAnsi="Times New Roman"/>
          <w:b w:val="1"/>
          <w:bCs w:val="1"/>
          <w:sz w:val="24"/>
          <w:szCs w:val="24"/>
          <w:rtl w:val="0"/>
        </w:rPr>
        <w:t xml:space="preserve">CAGR of 11.77%</w:t>
      </w:r>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u w:val="single"/>
            <w:rtl w:val="0"/>
          </w:rPr>
          <w:t xml:space="preserve">IMARC Group</w:t>
        </w:r>
      </w:hyperlink>
      <w:r w:rsidDel="00000000" w:rsidR="00000000" w:rsidRPr="00000000">
        <w:rPr>
          <w:rtl w:val="0"/>
        </w:rPr>
      </w:r>
    </w:p>
    <w:p w:rsidR="00000000" w:rsidDel="00000000" w:rsidP="00000000" w:rsidRDefault="00000000" w:rsidRPr="00000000" w14:paraId="00000011">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Drivers include government investments, rising smartphone adoption, poor student-teacher ratios, and increased internet access </w:t>
      </w:r>
      <w:hyperlink r:id="rId10">
        <w:r w:rsidDel="00000000" w:rsidR="00000000" w:rsidRPr="00000000">
          <w:rPr>
            <w:rFonts w:ascii="Times New Roman" w:cs="Times New Roman" w:eastAsia="Times New Roman" w:hAnsi="Times New Roman"/>
            <w:color w:val="1155cc"/>
            <w:sz w:val="24"/>
            <w:szCs w:val="24"/>
            <w:u w:val="single"/>
            <w:rtl w:val="0"/>
          </w:rPr>
          <w:t xml:space="preserve">IMARC Group</w:t>
        </w:r>
      </w:hyperlink>
      <w:r w:rsidDel="00000000" w:rsidR="00000000" w:rsidRPr="00000000">
        <w:rPr>
          <w:rtl w:val="0"/>
        </w:rPr>
      </w:r>
    </w:p>
    <w:p w:rsidR="00000000" w:rsidDel="00000000" w:rsidP="00000000" w:rsidRDefault="00000000" w:rsidRPr="00000000" w14:paraId="00000012">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Egypt’s </w:t>
      </w:r>
      <w:r w:rsidDel="00000000" w:rsidR="00000000" w:rsidRPr="00000000">
        <w:rPr>
          <w:rFonts w:ascii="Times New Roman" w:cs="Times New Roman" w:eastAsia="Times New Roman" w:hAnsi="Times New Roman"/>
          <w:b w:val="1"/>
          <w:bCs w:val="1"/>
          <w:sz w:val="24"/>
          <w:szCs w:val="24"/>
          <w:rtl w:val="0"/>
        </w:rPr>
        <w:t xml:space="preserve">ICT sector is booming</w:t>
      </w:r>
      <w:r w:rsidDel="00000000" w:rsidR="00000000" w:rsidRPr="00000000">
        <w:rPr>
          <w:rFonts w:ascii="Times New Roman" w:cs="Times New Roman" w:eastAsia="Times New Roman" w:hAnsi="Times New Roman"/>
          <w:sz w:val="24"/>
          <w:szCs w:val="24"/>
          <w:rtl w:val="0"/>
        </w:rPr>
        <w:t xml:space="preserve">, with internet penetration over </w:t>
      </w:r>
      <w:r w:rsidDel="00000000" w:rsidR="00000000" w:rsidRPr="00000000">
        <w:rPr>
          <w:rFonts w:ascii="Times New Roman" w:cs="Times New Roman" w:eastAsia="Times New Roman" w:hAnsi="Times New Roman"/>
          <w:b w:val="1"/>
          <w:bCs w:val="1"/>
          <w:sz w:val="24"/>
          <w:szCs w:val="24"/>
          <w:rtl w:val="0"/>
        </w:rPr>
        <w:t xml:space="preserve">72%</w:t>
      </w:r>
      <w:r w:rsidDel="00000000" w:rsidR="00000000" w:rsidRPr="00000000">
        <w:rPr>
          <w:rFonts w:ascii="Times New Roman" w:cs="Times New Roman" w:eastAsia="Times New Roman" w:hAnsi="Times New Roman"/>
          <w:sz w:val="24"/>
          <w:szCs w:val="24"/>
          <w:rtl w:val="0"/>
        </w:rPr>
        <w:t xml:space="preserve"> and a digital transformation push via the “Digital Egypt” initiative</w:t>
      </w:r>
    </w:p>
    <w:p w:rsidR="00000000" w:rsidDel="00000000" w:rsidP="00000000" w:rsidRDefault="00000000" w:rsidRPr="00000000" w14:paraId="00000013">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2023 academic year, Egypt had </w:t>
      </w:r>
      <w:r w:rsidDel="00000000" w:rsidR="00000000" w:rsidRPr="00000000">
        <w:rPr>
          <w:rFonts w:ascii="Times New Roman" w:cs="Times New Roman" w:eastAsia="Times New Roman" w:hAnsi="Times New Roman"/>
          <w:b w:val="1"/>
          <w:bCs w:val="1"/>
          <w:sz w:val="24"/>
          <w:szCs w:val="24"/>
          <w:rtl w:val="0"/>
        </w:rPr>
        <w:t xml:space="preserve">49,804 government schools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10,450 private schools</w:t>
      </w:r>
      <w:r w:rsidDel="00000000" w:rsidR="00000000" w:rsidRPr="00000000">
        <w:rPr>
          <w:rFonts w:ascii="Times New Roman" w:cs="Times New Roman" w:eastAsia="Times New Roman" w:hAnsi="Times New Roman"/>
          <w:sz w:val="24"/>
          <w:szCs w:val="24"/>
          <w:rtl w:val="0"/>
        </w:rPr>
        <w:t xml:space="preserve"> serving approximately </w:t>
      </w:r>
      <w:r w:rsidDel="00000000" w:rsidR="00000000" w:rsidRPr="00000000">
        <w:rPr>
          <w:rFonts w:ascii="Times New Roman" w:cs="Times New Roman" w:eastAsia="Times New Roman" w:hAnsi="Times New Roman"/>
          <w:b w:val="1"/>
          <w:bCs w:val="1"/>
          <w:sz w:val="24"/>
          <w:szCs w:val="24"/>
          <w:rtl w:val="0"/>
        </w:rPr>
        <w:t xml:space="preserve">25.5 million students</w:t>
      </w:r>
      <w:r w:rsidDel="00000000" w:rsidR="00000000" w:rsidRPr="00000000">
        <w:rPr>
          <w:rFonts w:ascii="Times New Roman" w:cs="Times New Roman" w:eastAsia="Times New Roman" w:hAnsi="Times New Roman"/>
          <w:sz w:val="24"/>
          <w:szCs w:val="24"/>
          <w:rtl w:val="0"/>
        </w:rPr>
        <w:t xml:space="preserve"> across pre-university levels </w:t>
      </w:r>
      <w:hyperlink r:id="rId11">
        <w:r w:rsidDel="00000000" w:rsidR="00000000" w:rsidRPr="00000000">
          <w:rPr>
            <w:rFonts w:ascii="Times New Roman" w:cs="Times New Roman" w:eastAsia="Times New Roman" w:hAnsi="Times New Roman"/>
            <w:color w:val="1155cc"/>
            <w:sz w:val="24"/>
            <w:szCs w:val="24"/>
            <w:u w:val="single"/>
            <w:rtl w:val="1"/>
          </w:rPr>
          <w:t xml:space="preserve">السفير</w:t>
        </w:r>
      </w:hyperlink>
      <w:hyperlink r:id="rId12">
        <w:r w:rsidDel="00000000" w:rsidR="00000000" w:rsidRPr="00000000">
          <w:rPr>
            <w:rFonts w:ascii="Times New Roman" w:cs="Times New Roman" w:eastAsia="Times New Roman" w:hAnsi="Times New Roman"/>
            <w:color w:val="1155cc"/>
            <w:sz w:val="24"/>
            <w:szCs w:val="24"/>
            <w:u w:val="single"/>
            <w:rtl w:val="1"/>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1"/>
          </w:rPr>
          <w:t xml:space="preserve">العربي</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4">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source estimates a total of </w:t>
      </w:r>
      <w:r w:rsidDel="00000000" w:rsidR="00000000" w:rsidRPr="00000000">
        <w:rPr>
          <w:rFonts w:ascii="Times New Roman" w:cs="Times New Roman" w:eastAsia="Times New Roman" w:hAnsi="Times New Roman"/>
          <w:b w:val="1"/>
          <w:bCs w:val="1"/>
          <w:sz w:val="24"/>
          <w:szCs w:val="24"/>
          <w:rtl w:val="0"/>
        </w:rPr>
        <w:t xml:space="preserve">56,500 public schools</w:t>
      </w:r>
      <w:r w:rsidDel="00000000" w:rsidR="00000000" w:rsidRPr="00000000">
        <w:rPr>
          <w:rFonts w:ascii="Times New Roman" w:cs="Times New Roman" w:eastAsia="Times New Roman" w:hAnsi="Times New Roman"/>
          <w:sz w:val="24"/>
          <w:szCs w:val="24"/>
          <w:rtl w:val="0"/>
        </w:rPr>
        <w:t xml:space="preserve"> (covering early childhood through secondary) alongside a growing number of private institutions, especially in Greater Cairo </w:t>
      </w:r>
      <w:hyperlink r:id="rId14">
        <w:r w:rsidDel="00000000" w:rsidR="00000000" w:rsidRPr="00000000">
          <w:rPr>
            <w:rFonts w:ascii="Times New Roman" w:cs="Times New Roman" w:eastAsia="Times New Roman" w:hAnsi="Times New Roman"/>
            <w:color w:val="1155cc"/>
            <w:sz w:val="24"/>
            <w:szCs w:val="24"/>
            <w:u w:val="single"/>
            <w:rtl w:val="0"/>
          </w:rPr>
          <w:t xml:space="preserve">Oxford Business Group</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education system continues to expand—</w:t>
      </w:r>
      <w:r w:rsidDel="00000000" w:rsidR="00000000" w:rsidRPr="00000000">
        <w:rPr>
          <w:rFonts w:ascii="Times New Roman" w:cs="Times New Roman" w:eastAsia="Times New Roman" w:hAnsi="Times New Roman"/>
          <w:b w:val="1"/>
          <w:bCs w:val="1"/>
          <w:sz w:val="24"/>
          <w:szCs w:val="24"/>
          <w:rtl w:val="0"/>
        </w:rPr>
        <w:t xml:space="preserve">11 million new seats</w:t>
      </w:r>
      <w:r w:rsidDel="00000000" w:rsidR="00000000" w:rsidRPr="00000000">
        <w:rPr>
          <w:rFonts w:ascii="Times New Roman" w:cs="Times New Roman" w:eastAsia="Times New Roman" w:hAnsi="Times New Roman"/>
          <w:sz w:val="24"/>
          <w:szCs w:val="24"/>
          <w:rtl w:val="0"/>
        </w:rPr>
        <w:t xml:space="preserve"> are needed by 2030, with </w:t>
      </w:r>
      <w:r w:rsidDel="00000000" w:rsidR="00000000" w:rsidRPr="00000000">
        <w:rPr>
          <w:rFonts w:ascii="Times New Roman" w:cs="Times New Roman" w:eastAsia="Times New Roman" w:hAnsi="Times New Roman"/>
          <w:b w:val="1"/>
          <w:bCs w:val="1"/>
          <w:sz w:val="24"/>
          <w:szCs w:val="24"/>
          <w:rtl w:val="0"/>
        </w:rPr>
        <w:t xml:space="preserve">2.1 million expected</w:t>
      </w:r>
      <w:r w:rsidDel="00000000" w:rsidR="00000000" w:rsidRPr="00000000">
        <w:rPr>
          <w:rFonts w:ascii="Times New Roman" w:cs="Times New Roman" w:eastAsia="Times New Roman" w:hAnsi="Times New Roman"/>
          <w:sz w:val="24"/>
          <w:szCs w:val="24"/>
          <w:rtl w:val="0"/>
        </w:rPr>
        <w:t xml:space="preserve"> to be in the private sector </w:t>
      </w:r>
      <w:hyperlink r:id="rId15">
        <w:r w:rsidDel="00000000" w:rsidR="00000000" w:rsidRPr="00000000">
          <w:rPr>
            <w:rFonts w:ascii="Times New Roman" w:cs="Times New Roman" w:eastAsia="Times New Roman" w:hAnsi="Times New Roman"/>
            <w:color w:val="1155cc"/>
            <w:sz w:val="24"/>
            <w:szCs w:val="24"/>
            <w:u w:val="single"/>
            <w:rtl w:val="0"/>
          </w:rPr>
          <w:t xml:space="preserve">Colliers</w:t>
        </w:r>
      </w:hyperlink>
      <w:r w:rsidDel="00000000" w:rsidR="00000000" w:rsidRPr="00000000">
        <w:rPr>
          <w:rtl w:val="0"/>
        </w:rPr>
      </w:r>
    </w:p>
    <w:p w:rsidR="00000000" w:rsidDel="00000000" w:rsidP="00000000" w:rsidRDefault="00000000" w:rsidRPr="00000000" w14:paraId="00000016">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Egypt employs around </w:t>
      </w:r>
      <w:r w:rsidDel="00000000" w:rsidR="00000000" w:rsidRPr="00000000">
        <w:rPr>
          <w:rFonts w:ascii="Times New Roman" w:cs="Times New Roman" w:eastAsia="Times New Roman" w:hAnsi="Times New Roman"/>
          <w:b w:val="1"/>
          <w:bCs w:val="1"/>
          <w:sz w:val="24"/>
          <w:szCs w:val="24"/>
          <w:rtl w:val="0"/>
        </w:rPr>
        <w:t xml:space="preserve">1 million teachers</w:t>
      </w:r>
      <w:r w:rsidDel="00000000" w:rsidR="00000000" w:rsidRPr="00000000">
        <w:rPr>
          <w:rFonts w:ascii="Times New Roman" w:cs="Times New Roman" w:eastAsia="Times New Roman" w:hAnsi="Times New Roman"/>
          <w:sz w:val="24"/>
          <w:szCs w:val="24"/>
          <w:rtl w:val="0"/>
        </w:rPr>
        <w:t xml:space="preserve"> in pre-university education, a decrease from 1.14 million in 2022 </w:t>
      </w:r>
      <w:hyperlink r:id="rId16">
        <w:r w:rsidDel="00000000" w:rsidR="00000000" w:rsidRPr="00000000">
          <w:rPr>
            <w:rFonts w:ascii="Times New Roman" w:cs="Times New Roman" w:eastAsia="Times New Roman" w:hAnsi="Times New Roman"/>
            <w:color w:val="1155cc"/>
            <w:sz w:val="24"/>
            <w:szCs w:val="24"/>
            <w:u w:val="single"/>
            <w:rtl w:val="1"/>
          </w:rPr>
          <w:t xml:space="preserve">السفير</w:t>
        </w:r>
      </w:hyperlink>
      <w:hyperlink r:id="rId17">
        <w:r w:rsidDel="00000000" w:rsidR="00000000" w:rsidRPr="00000000">
          <w:rPr>
            <w:rFonts w:ascii="Times New Roman" w:cs="Times New Roman" w:eastAsia="Times New Roman" w:hAnsi="Times New Roman"/>
            <w:color w:val="1155cc"/>
            <w:sz w:val="24"/>
            <w:szCs w:val="24"/>
            <w:u w:val="single"/>
            <w:rtl w:val="1"/>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1"/>
          </w:rPr>
          <w:t xml:space="preserve">العربي</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See News</w:t>
        </w:r>
      </w:hyperlink>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af0m03c6urc" w:id="2"/>
      <w:bookmarkEnd w:id="2"/>
      <w:r w:rsidDel="00000000" w:rsidR="00000000" w:rsidRPr="00000000">
        <w:rPr>
          <w:rFonts w:ascii="Times New Roman" w:cs="Times New Roman" w:eastAsia="Times New Roman" w:hAnsi="Times New Roman"/>
          <w:b w:val="1"/>
          <w:bCs w:val="1"/>
          <w:sz w:val="34"/>
          <w:szCs w:val="34"/>
          <w:rtl w:val="0"/>
        </w:rPr>
        <w:t xml:space="preserve">Arab World (Middle East &amp; North Africa Region)</w:t>
      </w:r>
    </w:p>
    <w:p w:rsidR="00000000" w:rsidDel="00000000" w:rsidP="00000000" w:rsidRDefault="00000000" w:rsidRPr="00000000" w14:paraId="00000018">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MEA EdTech SaaS tools market</w:t>
      </w:r>
      <w:r w:rsidDel="00000000" w:rsidR="00000000" w:rsidRPr="00000000">
        <w:rPr>
          <w:rFonts w:ascii="Times New Roman" w:cs="Times New Roman" w:eastAsia="Times New Roman" w:hAnsi="Times New Roman"/>
          <w:sz w:val="24"/>
          <w:szCs w:val="24"/>
          <w:rtl w:val="0"/>
        </w:rPr>
        <w:t xml:space="preserve"> reached </w:t>
      </w:r>
      <w:r w:rsidDel="00000000" w:rsidR="00000000" w:rsidRPr="00000000">
        <w:rPr>
          <w:rFonts w:ascii="Times New Roman" w:cs="Times New Roman" w:eastAsia="Times New Roman" w:hAnsi="Times New Roman"/>
          <w:b w:val="1"/>
          <w:bCs w:val="1"/>
          <w:sz w:val="24"/>
          <w:szCs w:val="24"/>
          <w:rtl w:val="0"/>
        </w:rPr>
        <w:t xml:space="preserve">$3.28 billion in 2023</w:t>
      </w:r>
      <w:r w:rsidDel="00000000" w:rsidR="00000000" w:rsidRPr="00000000">
        <w:rPr>
          <w:rFonts w:ascii="Times New Roman" w:cs="Times New Roman" w:eastAsia="Times New Roman" w:hAnsi="Times New Roman"/>
          <w:sz w:val="24"/>
          <w:szCs w:val="24"/>
          <w:rtl w:val="0"/>
        </w:rPr>
        <w:t xml:space="preserve">, expected to grow to </w:t>
      </w:r>
      <w:r w:rsidDel="00000000" w:rsidR="00000000" w:rsidRPr="00000000">
        <w:rPr>
          <w:rFonts w:ascii="Times New Roman" w:cs="Times New Roman" w:eastAsia="Times New Roman" w:hAnsi="Times New Roman"/>
          <w:b w:val="1"/>
          <w:bCs w:val="1"/>
          <w:sz w:val="24"/>
          <w:szCs w:val="24"/>
          <w:rtl w:val="0"/>
        </w:rPr>
        <w:t xml:space="preserve">$8.98 billion by 2030</w:t>
      </w:r>
      <w:r w:rsidDel="00000000" w:rsidR="00000000" w:rsidRPr="00000000">
        <w:rPr>
          <w:rFonts w:ascii="Times New Roman" w:cs="Times New Roman" w:eastAsia="Times New Roman" w:hAnsi="Times New Roman"/>
          <w:sz w:val="24"/>
          <w:szCs w:val="24"/>
          <w:rtl w:val="0"/>
        </w:rPr>
        <w:t xml:space="preserve"> — a robust </w:t>
      </w:r>
      <w:r w:rsidDel="00000000" w:rsidR="00000000" w:rsidRPr="00000000">
        <w:rPr>
          <w:rFonts w:ascii="Times New Roman" w:cs="Times New Roman" w:eastAsia="Times New Roman" w:hAnsi="Times New Roman"/>
          <w:b w:val="1"/>
          <w:bCs w:val="1"/>
          <w:sz w:val="24"/>
          <w:szCs w:val="24"/>
          <w:rtl w:val="0"/>
        </w:rPr>
        <w:t xml:space="preserve">CAGR of 15.5%</w:t>
      </w:r>
      <w:r w:rsidDel="00000000" w:rsidR="00000000" w:rsidRPr="00000000">
        <w:rPr>
          <w:rFonts w:ascii="Times New Roman" w:cs="Times New Roman" w:eastAsia="Times New Roman" w:hAnsi="Times New Roman"/>
          <w:sz w:val="24"/>
          <w:szCs w:val="24"/>
          <w:rtl w:val="0"/>
        </w:rPr>
        <w:t xml:space="preserve"> </w:t>
      </w:r>
      <w:hyperlink r:id="rId20">
        <w:r w:rsidDel="00000000" w:rsidR="00000000" w:rsidRPr="00000000">
          <w:rPr>
            <w:rFonts w:ascii="Times New Roman" w:cs="Times New Roman" w:eastAsia="Times New Roman" w:hAnsi="Times New Roman"/>
            <w:color w:val="1155cc"/>
            <w:sz w:val="24"/>
            <w:szCs w:val="24"/>
            <w:u w:val="single"/>
            <w:rtl w:val="0"/>
          </w:rPr>
          <w:t xml:space="preserve">Grand View Research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broadly, the </w:t>
      </w:r>
      <w:r w:rsidDel="00000000" w:rsidR="00000000" w:rsidRPr="00000000">
        <w:rPr>
          <w:rFonts w:ascii="Times New Roman" w:cs="Times New Roman" w:eastAsia="Times New Roman" w:hAnsi="Times New Roman"/>
          <w:b w:val="1"/>
          <w:bCs w:val="1"/>
          <w:sz w:val="24"/>
          <w:szCs w:val="24"/>
          <w:rtl w:val="0"/>
        </w:rPr>
        <w:t xml:space="preserve">MEA EdTech market</w:t>
      </w:r>
      <w:r w:rsidDel="00000000" w:rsidR="00000000" w:rsidRPr="00000000">
        <w:rPr>
          <w:rFonts w:ascii="Times New Roman" w:cs="Times New Roman" w:eastAsia="Times New Roman" w:hAnsi="Times New Roman"/>
          <w:sz w:val="24"/>
          <w:szCs w:val="24"/>
          <w:rtl w:val="0"/>
        </w:rPr>
        <w:t xml:space="preserve"> (including content, platforms, services) is forecasted to reach </w:t>
      </w:r>
      <w:r w:rsidDel="00000000" w:rsidR="00000000" w:rsidRPr="00000000">
        <w:rPr>
          <w:rFonts w:ascii="Times New Roman" w:cs="Times New Roman" w:eastAsia="Times New Roman" w:hAnsi="Times New Roman"/>
          <w:b w:val="1"/>
          <w:bCs w:val="1"/>
          <w:sz w:val="24"/>
          <w:szCs w:val="24"/>
          <w:rtl w:val="0"/>
        </w:rPr>
        <w:t xml:space="preserve">$33 billion by 2030</w:t>
      </w:r>
      <w:r w:rsidDel="00000000" w:rsidR="00000000" w:rsidRPr="00000000">
        <w:rPr>
          <w:rFonts w:ascii="Times New Roman" w:cs="Times New Roman" w:eastAsia="Times New Roman" w:hAnsi="Times New Roman"/>
          <w:sz w:val="24"/>
          <w:szCs w:val="24"/>
          <w:rtl w:val="0"/>
        </w:rPr>
        <w:t xml:space="preserve">, up from </w:t>
      </w:r>
      <w:r w:rsidDel="00000000" w:rsidR="00000000" w:rsidRPr="00000000">
        <w:rPr>
          <w:rFonts w:ascii="Times New Roman" w:cs="Times New Roman" w:eastAsia="Times New Roman" w:hAnsi="Times New Roman"/>
          <w:b w:val="1"/>
          <w:bCs w:val="1"/>
          <w:sz w:val="24"/>
          <w:szCs w:val="24"/>
          <w:rtl w:val="0"/>
        </w:rPr>
        <w:t xml:space="preserve">$14.4 billion in 2024</w:t>
      </w:r>
      <w:r w:rsidDel="00000000" w:rsidR="00000000" w:rsidRPr="00000000">
        <w:rPr>
          <w:rFonts w:ascii="Times New Roman" w:cs="Times New Roman" w:eastAsia="Times New Roman" w:hAnsi="Times New Roman"/>
          <w:sz w:val="24"/>
          <w:szCs w:val="24"/>
          <w:rtl w:val="0"/>
        </w:rPr>
        <w:t xml:space="preserve"> </w:t>
      </w:r>
      <w:hyperlink r:id="rId21">
        <w:r w:rsidDel="00000000" w:rsidR="00000000" w:rsidRPr="00000000">
          <w:rPr>
            <w:rFonts w:ascii="Times New Roman" w:cs="Times New Roman" w:eastAsia="Times New Roman" w:hAnsi="Times New Roman"/>
            <w:color w:val="1155cc"/>
            <w:sz w:val="24"/>
            <w:szCs w:val="24"/>
            <w:u w:val="single"/>
            <w:rtl w:val="0"/>
          </w:rPr>
          <w:t xml:space="preserve">Grand View Research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A">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Quality of PD is a known gap.</w:t>
      </w:r>
      <w:r w:rsidDel="00000000" w:rsidR="00000000" w:rsidRPr="00000000">
        <w:rPr>
          <w:rFonts w:ascii="Times New Roman" w:cs="Times New Roman" w:eastAsia="Times New Roman" w:hAnsi="Times New Roman"/>
          <w:sz w:val="24"/>
          <w:szCs w:val="24"/>
          <w:rtl w:val="0"/>
        </w:rPr>
        <w:t xml:space="preserve"> A UNESCO Beirut study across </w:t>
      </w:r>
      <w:r w:rsidDel="00000000" w:rsidR="00000000" w:rsidRPr="00000000">
        <w:rPr>
          <w:rFonts w:ascii="Times New Roman" w:cs="Times New Roman" w:eastAsia="Times New Roman" w:hAnsi="Times New Roman"/>
          <w:b w:val="1"/>
          <w:bCs w:val="1"/>
          <w:sz w:val="24"/>
          <w:szCs w:val="24"/>
          <w:rtl w:val="0"/>
        </w:rPr>
        <w:t xml:space="preserve">Egypt, Jordan, KSA, Morocco, Tunisia</w:t>
      </w:r>
      <w:r w:rsidDel="00000000" w:rsidR="00000000" w:rsidRPr="00000000">
        <w:rPr>
          <w:rFonts w:ascii="Times New Roman" w:cs="Times New Roman" w:eastAsia="Times New Roman" w:hAnsi="Times New Roman"/>
          <w:sz w:val="24"/>
          <w:szCs w:val="24"/>
          <w:rtl w:val="0"/>
        </w:rPr>
        <w:t xml:space="preserve"> found teacher PD during/after COVID was </w:t>
      </w:r>
      <w:r w:rsidDel="00000000" w:rsidR="00000000" w:rsidRPr="00000000">
        <w:rPr>
          <w:rFonts w:ascii="Times New Roman" w:cs="Times New Roman" w:eastAsia="Times New Roman" w:hAnsi="Times New Roman"/>
          <w:b w:val="1"/>
          <w:bCs w:val="1"/>
          <w:sz w:val="24"/>
          <w:szCs w:val="24"/>
          <w:rtl w:val="0"/>
        </w:rPr>
        <w:t xml:space="preserve">fragmented, generic, and weakly tied to classroom practice</w:t>
      </w:r>
      <w:r w:rsidDel="00000000" w:rsidR="00000000" w:rsidRPr="00000000">
        <w:rPr>
          <w:rFonts w:ascii="Times New Roman" w:cs="Times New Roman" w:eastAsia="Times New Roman" w:hAnsi="Times New Roman"/>
          <w:sz w:val="24"/>
          <w:szCs w:val="24"/>
          <w:rtl w:val="0"/>
        </w:rPr>
        <w:t xml:space="preserve">—exactly where coaching models help.</w:t>
      </w:r>
      <w:hyperlink r:id="rId22">
        <w:r w:rsidDel="00000000" w:rsidR="00000000" w:rsidRPr="00000000">
          <w:rPr>
            <w:rFonts w:ascii="Times New Roman" w:cs="Times New Roman" w:eastAsia="Times New Roman" w:hAnsi="Times New Roman"/>
            <w:color w:val="1155cc"/>
            <w:sz w:val="24"/>
            <w:szCs w:val="24"/>
            <w:u w:val="single"/>
            <w:rtl w:val="0"/>
          </w:rPr>
          <w:t xml:space="preserve">https://teachertaskforce.org/sites/default/files/2022-08/2021_Zaalouk_UNESCO_TPD-Arab-States-during-COVID-19-pandemic_EN.pdf?utm_source=chatgpt.com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b06wq3352z" w:id="3"/>
      <w:bookmarkEnd w:id="3"/>
      <w:r w:rsidDel="00000000" w:rsidR="00000000" w:rsidRPr="00000000">
        <w:rPr>
          <w:rFonts w:ascii="Times New Roman" w:cs="Times New Roman" w:eastAsia="Times New Roman" w:hAnsi="Times New Roman"/>
          <w:b w:val="1"/>
          <w:bCs w:val="1"/>
          <w:sz w:val="34"/>
          <w:szCs w:val="34"/>
          <w:rtl w:val="0"/>
        </w:rPr>
        <w:t xml:space="preserve">Africa (Continental Outlook)</w:t>
      </w:r>
    </w:p>
    <w:p w:rsidR="00000000" w:rsidDel="00000000" w:rsidP="00000000" w:rsidRDefault="00000000" w:rsidRPr="00000000" w14:paraId="0000001C">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African e-learning market</w:t>
      </w:r>
      <w:r w:rsidDel="00000000" w:rsidR="00000000" w:rsidRPr="00000000">
        <w:rPr>
          <w:rFonts w:ascii="Times New Roman" w:cs="Times New Roman" w:eastAsia="Times New Roman" w:hAnsi="Times New Roman"/>
          <w:sz w:val="24"/>
          <w:szCs w:val="24"/>
          <w:rtl w:val="0"/>
        </w:rPr>
        <w:t xml:space="preserve"> was valued at </w:t>
      </w:r>
      <w:r w:rsidDel="00000000" w:rsidR="00000000" w:rsidRPr="00000000">
        <w:rPr>
          <w:rFonts w:ascii="Times New Roman" w:cs="Times New Roman" w:eastAsia="Times New Roman" w:hAnsi="Times New Roman"/>
          <w:b w:val="1"/>
          <w:bCs w:val="1"/>
          <w:sz w:val="24"/>
          <w:szCs w:val="24"/>
          <w:rtl w:val="0"/>
        </w:rPr>
        <w:t xml:space="preserve">$3.4 billion in 2024</w:t>
      </w:r>
      <w:r w:rsidDel="00000000" w:rsidR="00000000" w:rsidRPr="00000000">
        <w:rPr>
          <w:rFonts w:ascii="Times New Roman" w:cs="Times New Roman" w:eastAsia="Times New Roman" w:hAnsi="Times New Roman"/>
          <w:sz w:val="24"/>
          <w:szCs w:val="24"/>
          <w:rtl w:val="0"/>
        </w:rPr>
        <w:t xml:space="preserve"> and is expected to grow to </w:t>
      </w:r>
      <w:r w:rsidDel="00000000" w:rsidR="00000000" w:rsidRPr="00000000">
        <w:rPr>
          <w:rFonts w:ascii="Times New Roman" w:cs="Times New Roman" w:eastAsia="Times New Roman" w:hAnsi="Times New Roman"/>
          <w:b w:val="1"/>
          <w:bCs w:val="1"/>
          <w:sz w:val="24"/>
          <w:szCs w:val="24"/>
          <w:rtl w:val="0"/>
        </w:rPr>
        <w:t xml:space="preserve">$7.7 billion by 2033</w:t>
      </w:r>
      <w:r w:rsidDel="00000000" w:rsidR="00000000" w:rsidRPr="00000000">
        <w:rPr>
          <w:rFonts w:ascii="Times New Roman" w:cs="Times New Roman" w:eastAsia="Times New Roman" w:hAnsi="Times New Roman"/>
          <w:sz w:val="24"/>
          <w:szCs w:val="24"/>
          <w:rtl w:val="0"/>
        </w:rPr>
        <w:t xml:space="preserve">(CAGR: </w:t>
      </w:r>
      <w:r w:rsidDel="00000000" w:rsidR="00000000" w:rsidRPr="00000000">
        <w:rPr>
          <w:rFonts w:ascii="Times New Roman" w:cs="Times New Roman" w:eastAsia="Times New Roman" w:hAnsi="Times New Roman"/>
          <w:b w:val="1"/>
          <w:bCs w:val="1"/>
          <w:sz w:val="24"/>
          <w:szCs w:val="24"/>
          <w:rtl w:val="0"/>
        </w:rPr>
        <w:t xml:space="preserve">9.1%</w:t>
      </w:r>
      <w:r w:rsidDel="00000000" w:rsidR="00000000" w:rsidRPr="00000000">
        <w:rPr>
          <w:rFonts w:ascii="Times New Roman" w:cs="Times New Roman" w:eastAsia="Times New Roman" w:hAnsi="Times New Roman"/>
          <w:sz w:val="24"/>
          <w:szCs w:val="24"/>
          <w:rtl w:val="0"/>
        </w:rPr>
        <w:t xml:space="preserve">) </w:t>
      </w:r>
      <w:hyperlink r:id="rId23">
        <w:r w:rsidDel="00000000" w:rsidR="00000000" w:rsidRPr="00000000">
          <w:rPr>
            <w:rFonts w:ascii="Times New Roman" w:cs="Times New Roman" w:eastAsia="Times New Roman" w:hAnsi="Times New Roman"/>
            <w:color w:val="1155cc"/>
            <w:sz w:val="24"/>
            <w:szCs w:val="24"/>
            <w:u w:val="single"/>
            <w:rtl w:val="0"/>
          </w:rPr>
          <w:t xml:space="preserve">IMARC Group</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source pegs the African EdTech market at </w:t>
      </w:r>
      <w:r w:rsidDel="00000000" w:rsidR="00000000" w:rsidRPr="00000000">
        <w:rPr>
          <w:rFonts w:ascii="Times New Roman" w:cs="Times New Roman" w:eastAsia="Times New Roman" w:hAnsi="Times New Roman"/>
          <w:b w:val="1"/>
          <w:bCs w:val="1"/>
          <w:sz w:val="24"/>
          <w:szCs w:val="24"/>
          <w:rtl w:val="0"/>
        </w:rPr>
        <w:t xml:space="preserve">nearly $2.5 billion in 2023</w:t>
      </w:r>
      <w:r w:rsidDel="00000000" w:rsidR="00000000" w:rsidRPr="00000000">
        <w:rPr>
          <w:rFonts w:ascii="Times New Roman" w:cs="Times New Roman" w:eastAsia="Times New Roman" w:hAnsi="Times New Roman"/>
          <w:sz w:val="24"/>
          <w:szCs w:val="24"/>
          <w:rtl w:val="0"/>
        </w:rPr>
        <w:t xml:space="preserve">, with expectations of reaching </w:t>
      </w:r>
      <w:r w:rsidDel="00000000" w:rsidR="00000000" w:rsidRPr="00000000">
        <w:rPr>
          <w:rFonts w:ascii="Times New Roman" w:cs="Times New Roman" w:eastAsia="Times New Roman" w:hAnsi="Times New Roman"/>
          <w:b w:val="1"/>
          <w:bCs w:val="1"/>
          <w:sz w:val="24"/>
          <w:szCs w:val="24"/>
          <w:rtl w:val="0"/>
        </w:rPr>
        <w:t xml:space="preserve">$19.8 billion by 2031</w:t>
      </w:r>
      <w:r w:rsidDel="00000000" w:rsidR="00000000" w:rsidRPr="00000000">
        <w:rPr>
          <w:rFonts w:ascii="Times New Roman" w:cs="Times New Roman" w:eastAsia="Times New Roman" w:hAnsi="Times New Roman"/>
          <w:sz w:val="24"/>
          <w:szCs w:val="24"/>
          <w:rtl w:val="0"/>
        </w:rPr>
        <w:t xml:space="preserve">, reflecting a </w:t>
      </w:r>
      <w:r w:rsidDel="00000000" w:rsidR="00000000" w:rsidRPr="00000000">
        <w:rPr>
          <w:rFonts w:ascii="Times New Roman" w:cs="Times New Roman" w:eastAsia="Times New Roman" w:hAnsi="Times New Roman"/>
          <w:b w:val="1"/>
          <w:bCs w:val="1"/>
          <w:sz w:val="24"/>
          <w:szCs w:val="24"/>
          <w:rtl w:val="0"/>
        </w:rPr>
        <w:t xml:space="preserve">20.1% CAGR</w:t>
      </w:r>
      <w:r w:rsidDel="00000000" w:rsidR="00000000" w:rsidRPr="00000000">
        <w:rPr>
          <w:rFonts w:ascii="Times New Roman" w:cs="Times New Roman" w:eastAsia="Times New Roman" w:hAnsi="Times New Roman"/>
          <w:sz w:val="24"/>
          <w:szCs w:val="24"/>
          <w:rtl w:val="0"/>
        </w:rPr>
        <w:t xml:space="preserve"> </w:t>
      </w:r>
      <w:hyperlink r:id="rId24">
        <w:r w:rsidDel="00000000" w:rsidR="00000000" w:rsidRPr="00000000">
          <w:rPr>
            <w:rFonts w:ascii="Times New Roman" w:cs="Times New Roman" w:eastAsia="Times New Roman" w:hAnsi="Times New Roman"/>
            <w:color w:val="1155cc"/>
            <w:sz w:val="24"/>
            <w:szCs w:val="24"/>
            <w:u w:val="single"/>
            <w:rtl w:val="0"/>
          </w:rPr>
          <w:t xml:space="preserve">Cognitive Market Research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E">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w:t>
      </w:r>
      <w:r w:rsidDel="00000000" w:rsidR="00000000" w:rsidRPr="00000000">
        <w:rPr>
          <w:rFonts w:ascii="Times New Roman" w:cs="Times New Roman" w:eastAsia="Times New Roman" w:hAnsi="Times New Roman"/>
          <w:b w:val="1"/>
          <w:bCs w:val="1"/>
          <w:sz w:val="24"/>
          <w:szCs w:val="24"/>
          <w:rtl w:val="0"/>
        </w:rPr>
        <w:t xml:space="preserve">online education revenue</w:t>
      </w:r>
      <w:r w:rsidDel="00000000" w:rsidR="00000000" w:rsidRPr="00000000">
        <w:rPr>
          <w:rFonts w:ascii="Times New Roman" w:cs="Times New Roman" w:eastAsia="Times New Roman" w:hAnsi="Times New Roman"/>
          <w:sz w:val="24"/>
          <w:szCs w:val="24"/>
          <w:rtl w:val="0"/>
        </w:rPr>
        <w:t xml:space="preserve"> in Africa is projected to reach </w:t>
      </w:r>
      <w:r w:rsidDel="00000000" w:rsidR="00000000" w:rsidRPr="00000000">
        <w:rPr>
          <w:rFonts w:ascii="Times New Roman" w:cs="Times New Roman" w:eastAsia="Times New Roman" w:hAnsi="Times New Roman"/>
          <w:b w:val="1"/>
          <w:bCs w:val="1"/>
          <w:sz w:val="24"/>
          <w:szCs w:val="24"/>
          <w:rtl w:val="0"/>
        </w:rPr>
        <w:t xml:space="preserve">$1 billion in 2025</w:t>
      </w:r>
      <w:r w:rsidDel="00000000" w:rsidR="00000000" w:rsidRPr="00000000">
        <w:rPr>
          <w:rFonts w:ascii="Times New Roman" w:cs="Times New Roman" w:eastAsia="Times New Roman" w:hAnsi="Times New Roman"/>
          <w:sz w:val="24"/>
          <w:szCs w:val="24"/>
          <w:rtl w:val="0"/>
        </w:rPr>
        <w:t xml:space="preserve">, with near-term growth at </w:t>
      </w:r>
      <w:r w:rsidDel="00000000" w:rsidR="00000000" w:rsidRPr="00000000">
        <w:rPr>
          <w:rFonts w:ascii="Times New Roman" w:cs="Times New Roman" w:eastAsia="Times New Roman" w:hAnsi="Times New Roman"/>
          <w:b w:val="1"/>
          <w:bCs w:val="1"/>
          <w:sz w:val="24"/>
          <w:szCs w:val="24"/>
          <w:rtl w:val="0"/>
        </w:rPr>
        <w:t xml:space="preserve">~11% CAGR</w:t>
      </w:r>
      <w:r w:rsidDel="00000000" w:rsidR="00000000" w:rsidRPr="00000000">
        <w:rPr>
          <w:rFonts w:ascii="Times New Roman" w:cs="Times New Roman" w:eastAsia="Times New Roman" w:hAnsi="Times New Roman"/>
          <w:sz w:val="24"/>
          <w:szCs w:val="24"/>
          <w:rtl w:val="0"/>
        </w:rPr>
        <w:t xml:space="preserve"> through 2029 </w:t>
      </w:r>
      <w:hyperlink r:id="rId25">
        <w:r w:rsidDel="00000000" w:rsidR="00000000" w:rsidRPr="00000000">
          <w:rPr>
            <w:rFonts w:ascii="Times New Roman" w:cs="Times New Roman" w:eastAsia="Times New Roman" w:hAnsi="Times New Roman"/>
            <w:color w:val="1155cc"/>
            <w:sz w:val="24"/>
            <w:szCs w:val="24"/>
            <w:u w:val="single"/>
            <w:rtl w:val="0"/>
          </w:rPr>
          <w:t xml:space="preserve">Statista+1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EdTech in Africa is supported by a youth population, growing smartphone use (over 400 million users), and governmental and international support for scalable learning tools </w:t>
      </w:r>
      <w:hyperlink r:id="rId26">
        <w:r w:rsidDel="00000000" w:rsidR="00000000" w:rsidRPr="00000000">
          <w:rPr>
            <w:rFonts w:ascii="Times New Roman" w:cs="Times New Roman" w:eastAsia="Times New Roman" w:hAnsi="Times New Roman"/>
            <w:color w:val="1155cc"/>
            <w:sz w:val="24"/>
            <w:szCs w:val="24"/>
            <w:u w:val="single"/>
            <w:rtl w:val="0"/>
          </w:rPr>
          <w:t xml:space="preserve">DigitalDefynd  Education</w:t>
        </w:r>
      </w:hyperlink>
      <w:hyperlink r:id="rId27">
        <w:r w:rsidDel="00000000" w:rsidR="00000000" w:rsidRPr="00000000">
          <w:rPr>
            <w:rFonts w:ascii="Times New Roman" w:cs="Times New Roman" w:eastAsia="Times New Roman" w:hAnsi="Times New Roman"/>
            <w:color w:val="1155cc"/>
            <w:sz w:val="24"/>
            <w:szCs w:val="24"/>
            <w:u w:val="single"/>
            <w:rtl w:val="0"/>
          </w:rPr>
          <w:t xml:space="preserve">smebluepages.com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 market in MENA</w:t>
      </w:r>
    </w:p>
    <w:p w:rsidR="00000000" w:rsidDel="00000000" w:rsidP="00000000" w:rsidRDefault="00000000" w:rsidRPr="00000000" w14:paraId="00000021">
      <w:pPr>
        <w:numPr>
          <w:ilvl w:val="0"/>
          <w:numId w:val="2"/>
        </w:numPr>
        <w:pBdr>
          <w:top w:space="0" w:sz="0" w:val="nil"/>
          <w:bottom w:space="0" w:sz="0" w:val="nil"/>
          <w:between w:space="0" w:sz="0" w:val="nil"/>
        </w:pBd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overall education market in MENA is currently valued at about $115 billion and is projected to reach $175 billion by 2027 (8.5% CAGR).</w:t>
      </w:r>
    </w:p>
    <w:p w:rsidR="00000000" w:rsidDel="00000000" w:rsidP="00000000" w:rsidRDefault="00000000" w:rsidRPr="00000000" w14:paraId="00000022">
      <w:pPr>
        <w:numPr>
          <w:ilvl w:val="0"/>
          <w:numId w:val="2"/>
        </w:numPr>
        <w:pBdr>
          <w:top w:space="0" w:sz="0" w:val="nil"/>
          <w:bottom w:space="0" w:sz="0" w:val="nil"/>
          <w:between w:space="0" w:sz="0" w:val="nil"/>
        </w:pBd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Fastest growth is seen in online and blended learning modalities, reflecting a strategic shift in training, especially post-pandemic and with substantial EdTech investment in 2024-2025.</w:t>
      </w:r>
    </w:p>
    <w:p w:rsidR="00000000" w:rsidDel="00000000" w:rsidP="00000000" w:rsidRDefault="00000000" w:rsidRPr="00000000" w14:paraId="00000023">
      <w:pPr>
        <w:numPr>
          <w:ilvl w:val="0"/>
          <w:numId w:val="2"/>
        </w:numPr>
        <w:pBdr>
          <w:top w:space="0" w:sz="0" w:val="nil"/>
          <w:bottom w:space="0" w:sz="0" w:val="nil"/>
          <w:between w:space="0" w:sz="0" w:val="nil"/>
        </w:pBd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Economic transformation programs (like Saudi Vision 2030) and national digital talent strategies in leading markets (UAE, Saudi Arabia, Egypt) accelerate spending on educator development.</w:t>
      </w:r>
    </w:p>
    <w:p w:rsidR="00000000" w:rsidDel="00000000" w:rsidP="00000000" w:rsidRDefault="00000000" w:rsidRPr="00000000" w14:paraId="00000024">
      <w:pPr>
        <w:numPr>
          <w:ilvl w:val="0"/>
          <w:numId w:val="2"/>
        </w:numPr>
        <w:pBdr>
          <w:top w:space="0" w:sz="0" w:val="nil"/>
          <w:bottom w:space="0" w:sz="0" w:val="nil"/>
          <w:between w:space="0" w:sz="0" w:val="nil"/>
        </w:pBd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EdTech and digital platforms adoption is surging, supported by over $1.5 billion in venture investment just in Q1 2025, reflecting the region's prioritization of scalable teacher and professional training.</w:t>
      </w:r>
    </w:p>
    <w:p w:rsidR="00000000" w:rsidDel="00000000" w:rsidP="00000000" w:rsidRDefault="00000000" w:rsidRPr="00000000" w14:paraId="00000025">
      <w:pPr>
        <w:numPr>
          <w:ilvl w:val="0"/>
          <w:numId w:val="2"/>
        </w:numPr>
        <w:pBdr>
          <w:top w:space="0" w:sz="0" w:val="nil"/>
          <w:bottom w:space="0" w:sz="0" w:val="nil"/>
          <w:between w:space="0" w:sz="0" w:val="nil"/>
        </w:pBd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 are approximately 7-8 million in-service teachers and over 100 million students in the Arab region and North Africa (MENA) in 2025, reflecting one of the world's largest youth and education sectors.</w:t>
      </w:r>
    </w:p>
    <w:p w:rsidR="00000000" w:rsidDel="00000000" w:rsidP="00000000" w:rsidRDefault="00000000" w:rsidRPr="00000000" w14:paraId="00000026">
      <w:pPr>
        <w:numPr>
          <w:ilvl w:val="0"/>
          <w:numId w:val="2"/>
        </w:numPr>
        <w:pBdr>
          <w:top w:space="0" w:sz="0" w:val="nil"/>
          <w:bottom w:space="0" w:sz="0" w:val="nil"/>
          <w:between w:space="0" w:sz="0" w:val="nil"/>
        </w:pBd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 2014, there were around 827,000 teachers in the GCC alone, with Saudi Arabia making up about 640,000 of that count.</w:t>
      </w:r>
    </w:p>
    <w:p w:rsidR="00000000" w:rsidDel="00000000" w:rsidP="00000000" w:rsidRDefault="00000000" w:rsidRPr="00000000" w14:paraId="00000027">
      <w:pPr>
        <w:numPr>
          <w:ilvl w:val="0"/>
          <w:numId w:val="2"/>
        </w:numPr>
        <w:pBdr>
          <w:top w:space="0" w:sz="0" w:val="nil"/>
          <w:bottom w:space="0" w:sz="0" w:val="nil"/>
          <w:between w:space="0" w:sz="0" w:val="nil"/>
        </w:pBdr>
        <w:ind w:left="720" w:hanging="36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8">
      <w:pPr>
        <w:numPr>
          <w:ilvl w:val="0"/>
          <w:numId w:val="2"/>
        </w:numPr>
        <w:pBdr>
          <w:top w:space="0" w:sz="0" w:val="nil"/>
          <w:bottom w:space="0" w:sz="0" w:val="nil"/>
          <w:between w:space="0" w:sz="0" w:val="nil"/>
        </w:pBdr>
        <w:ind w:left="720" w:hanging="36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ind w:left="720" w:firstLine="0"/>
        <w:rPr>
          <w:rFonts w:ascii="Times New Roman" w:cs="Times New Roman" w:eastAsia="Times New Roman" w:hAnsi="Times New Roman"/>
          <w:sz w:val="24"/>
          <w:szCs w:val="24"/>
        </w:rPr>
        <w:sectPr>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2240" w:w="15840" w:orient="landscape"/>
          <w:pgMar w:bottom="1440" w:top="1440" w:left="1440" w:right="1440" w:header="720" w:footer="720"/>
          <w:pgNumType w:start="1"/>
        </w:sectPr>
      </w:pPr>
      <w:bookmarkStart w:colFirst="0" w:colLast="0" w:name="_tdntzoyujuv3"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Testimonials</w:t>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tbl>
      <w:tblPr>
        <w:tblStyle w:val="Table1"/>
        <w:tblW w:w="15375.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25"/>
        <w:gridCol w:w="7650"/>
        <w:tblGridChange w:id="0">
          <w:tblGrid>
            <w:gridCol w:w="7725"/>
            <w:gridCol w:w="7650"/>
          </w:tblGrid>
        </w:tblGridChange>
      </w:tblGrid>
      <w:tr>
        <w:trPr>
          <w:cantSplit w:val="0"/>
          <w:tblHeader w:val="0"/>
        </w:trPr>
        <w:tc>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Amany</w:t>
            </w:r>
          </w:p>
          <w:p w:rsidR="00000000" w:rsidDel="00000000" w:rsidP="00000000" w:rsidRDefault="00000000" w:rsidRPr="00000000" w14:paraId="00000030">
            <w:pPr>
              <w:bidi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didn't see any way to deal with children other than severity and beating.. I have always found them to be very difficult to deal with or handle. They're naughty, they don't listen, and they don't want to learn.</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coaching journey began at that time. Through the questions my coach asked me, I don't know why, I started crying. I was deeply moved when I thought about what I was doing to the children and the way I was thinking about them. From that day on, I stopped hitting the children.</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continued my coaching journey to help me develop as a teacher. At first, I didn't see any other way to learn other than memorization. Through the coaching journey, I realized what I needed to develop at, and I was the one who decided on what to work on. We tried different methods and kept experimenting until it worked out. </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best things about coaching is that it meets you right where you want to start. Also one of  the best things about coaching is that it's a learning journey without judgment. On the contrary, the coach and I are open to experimentation and learning together. And most importantly, we keep learning. Coaching has always been for me a journey of support, mutual respect, and equal relationship with the coach.</w:t>
            </w:r>
          </w:p>
        </w:tc>
        <w:tc>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Nada</w:t>
            </w:r>
          </w:p>
          <w:p w:rsidR="00000000" w:rsidDel="00000000" w:rsidP="00000000" w:rsidRDefault="00000000" w:rsidRPr="00000000" w14:paraId="00000036">
            <w:pPr>
              <w:bidi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a physical training teacher. When I first started the professional development program, I didn't see myself as an educator. What does physical training have to do with education?!</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helped me change and develop many concepts and shift my perspective on my role.</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coaching program began at school, I saw the difference with my fellow teachers who had started it (it started with classroom teachers, language arts, math, and other subjects).</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wanted to attend the program myself, but I couldn't imagine how it would help me, since my job is mostly in the playground, not in a classroom!</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truth is, I discovered that coaching can happen anywhere! The most important thing was the relationship between me and the coach. There was trust, openness, and care. The coach was very understanding of my fears and challenges. I can say that coaching, with the different methods used; like shooting a video, for example, and watching it together (most importantly, we had to agree on which method we would use), it made me see things I didn't want to believe I was doing. This completely changed my way of thinking and my openness to the experimentation and the whole learning and development journey.</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currently an instructional coach for new teachers.</w:t>
            </w:r>
          </w:p>
          <w:p w:rsidR="00000000" w:rsidDel="00000000" w:rsidP="00000000" w:rsidRDefault="00000000" w:rsidRPr="00000000" w14:paraId="0000003E">
            <w:pPr>
              <w:bidi w:val="1"/>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Khadiga</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love teaching and children, and I always have felt like I wanted to do a lot of things, but I didn't know how. I often felt frustrated because I didn't know how to manage the class. The kids would get really bored in class and therefore distracted the entire time, and I didn't know how to make the class interactive and engaging.</w:t>
            </w:r>
          </w:p>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 started in the coaching program, I had no idea how much it would help me! Even though we had started a professional development program, and I learned a lot from it, I still faced the same challenges in the classroom, and I had no idea why!</w:t>
            </w:r>
          </w:p>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going through different stages of coaching and reflecting on them, I realized how much I resisted change at the beginning. But, coaching itself helped me overcome this resistance and open up to the experience and learn from it. First, there was no judgment, and second, the coach was with me on this learning journey with the same openness. Our relationship was always built on care and consideration. This made a huge difference.</w:t>
            </w:r>
          </w:p>
          <w:p w:rsidR="00000000" w:rsidDel="00000000" w:rsidP="00000000" w:rsidRDefault="00000000" w:rsidRPr="00000000" w14:paraId="0000004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developed until I worked as an instructional coach for new teachers, and currently I am the school principal where I started as a teacher who didn't know how to deal with children!</w:t>
            </w:r>
          </w:p>
        </w:tc>
        <w:tc>
          <w:tcPr/>
          <w:p w:rsidR="00000000" w:rsidDel="00000000" w:rsidP="00000000" w:rsidRDefault="00000000" w:rsidRPr="00000000" w14:paraId="0000004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bidi w:val="1"/>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type w:val="nextPage"/>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randviewresearch.com/horizon/outlook/education-technology-saas-tools-market/mea?utm_source=chatgpt.com" TargetMode="External"/><Relationship Id="rId22" Type="http://schemas.openxmlformats.org/officeDocument/2006/relationships/hyperlink" Target="https://teachertaskforce.org/sites/default/files/2022-08/2021_Zaalouk_UNESCO_TPD-Arab-States-during-COVID-19-pandemic_EN.pdf?utm_source=chatgpt.com" TargetMode="External"/><Relationship Id="rId21" Type="http://schemas.openxmlformats.org/officeDocument/2006/relationships/hyperlink" Target="https://www.grandviewresearch.com/horizon/outlook/education-technology-market/mea?utm_source=chatgpt.com" TargetMode="External"/><Relationship Id="rId24" Type="http://schemas.openxmlformats.org/officeDocument/2006/relationships/hyperlink" Target="https://www.cognitivemarketresearch.com/edtech-market-report?utm_source=chatgpt.com" TargetMode="External"/><Relationship Id="rId23" Type="http://schemas.openxmlformats.org/officeDocument/2006/relationships/hyperlink" Target="https://www.imarcgroup.com/africa-e-learning-market?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marcgroup.com/egypt-edtech-market?utm_source=chatgpt.com" TargetMode="External"/><Relationship Id="rId26" Type="http://schemas.openxmlformats.org/officeDocument/2006/relationships/hyperlink" Target="https://digitaldefynd.com/IQ/africa-edtech-statistics/?utm_source=chatgpt.com" TargetMode="External"/><Relationship Id="rId25" Type="http://schemas.openxmlformats.org/officeDocument/2006/relationships/hyperlink" Target="https://www.statista.com/outlook/emo/online-education/africa?utm_source=chatgpt.com" TargetMode="External"/><Relationship Id="rId27" Type="http://schemas.openxmlformats.org/officeDocument/2006/relationships/hyperlink" Target="https://smebluepages.com/edtech-industry-statistics-in-africa/?utm_source=chatgpt.com" TargetMode="External"/><Relationship Id="rId5" Type="http://schemas.openxmlformats.org/officeDocument/2006/relationships/styles" Target="styles.xml"/><Relationship Id="rId6" Type="http://schemas.openxmlformats.org/officeDocument/2006/relationships/hyperlink" Target="https://supervisionassist.com/product/" TargetMode="External"/><Relationship Id="rId7" Type="http://schemas.openxmlformats.org/officeDocument/2006/relationships/hyperlink" Target="https://tevera.com/elevate-field-experience/#" TargetMode="External"/><Relationship Id="rId8" Type="http://schemas.openxmlformats.org/officeDocument/2006/relationships/hyperlink" Target="https://schoolmint.com/schoolmintgrow/#" TargetMode="External"/><Relationship Id="rId11" Type="http://schemas.openxmlformats.org/officeDocument/2006/relationships/hyperlink" Target="https://assafirarabi.com/en/57047/2023/12/18/education-in-egypt-the-authority-tames-its-citizens/?utm_source=chatgpt.com" TargetMode="External"/><Relationship Id="rId10" Type="http://schemas.openxmlformats.org/officeDocument/2006/relationships/hyperlink" Target="https://www.imarcgroup.com/egypt-edtech-market?utm_source=chatgpt.com" TargetMode="External"/><Relationship Id="rId13" Type="http://schemas.openxmlformats.org/officeDocument/2006/relationships/hyperlink" Target="https://assafirarabi.com/en/57047/2023/12/18/education-in-egypt-the-authority-tames-its-citizens/?utm_source=chatgpt.com" TargetMode="External"/><Relationship Id="rId12" Type="http://schemas.openxmlformats.org/officeDocument/2006/relationships/hyperlink" Target="https://assafirarabi.com/en/57047/2023/12/18/education-in-egypt-the-authority-tames-its-citizens/?utm_source=chatgpt.com" TargetMode="External"/><Relationship Id="rId15" Type="http://schemas.openxmlformats.org/officeDocument/2006/relationships/hyperlink" Target="https://www.colliers.com/en-eg/news/cairo/egypt-k12-education-sector-market-overview?utm_source=chatgpt.com" TargetMode="External"/><Relationship Id="rId14" Type="http://schemas.openxmlformats.org/officeDocument/2006/relationships/hyperlink" Target="https://oxfordbusinessgroup.com/reports/egypt/2022-report/economy/future-workforce-a-host-of-partnerships-between-the-public-and-private-sectors-drive-progress-across-all-levels-of-schooling?utm_source=chatgpt.com" TargetMode="External"/><Relationship Id="rId17" Type="http://schemas.openxmlformats.org/officeDocument/2006/relationships/hyperlink" Target="https://assafirarabi.com/en/57047/2023/12/18/education-in-egypt-the-authority-tames-its-citizens/?utm_source=chatgpt.com" TargetMode="External"/><Relationship Id="rId16" Type="http://schemas.openxmlformats.org/officeDocument/2006/relationships/hyperlink" Target="https://assafirarabi.com/en/57047/2023/12/18/education-in-egypt-the-authority-tames-its-citizens/?utm_source=chatgpt.com" TargetMode="External"/><Relationship Id="rId19" Type="http://schemas.openxmlformats.org/officeDocument/2006/relationships/hyperlink" Target="https://see.news/world-teachers-day-one-teacher-for-every-26-students-in-egypt-academic-year-20222023?utm_source=chatgpt.com" TargetMode="External"/><Relationship Id="rId18" Type="http://schemas.openxmlformats.org/officeDocument/2006/relationships/hyperlink" Target="https://assafirarabi.com/en/57047/2023/12/18/education-in-egypt-the-authority-tames-its-citizens/?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