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6ee1f9bd5ade5ff24214f57eeb9b18883d418c"/>
    <w:p>
      <w:pPr>
        <w:pStyle w:val="Heading1"/>
      </w:pPr>
      <w:r>
        <w:t xml:space="preserve">WISE Testbed – Edtech Provider Interest Form</w:t>
      </w:r>
    </w:p>
    <w:p>
      <w:pPr>
        <w:pStyle w:val="FirstParagraph"/>
      </w:pPr>
      <w:r>
        <w:t xml:space="preserve">If you’re an Edtech provider interested in piloting your solution in Qatar through the WISE Edtech Testbed, please complete this form. This should take about 10 minutes. You’ll have the option to upload a 1-pager or deck at the end.</w:t>
      </w:r>
      <w:r>
        <w:t xml:space="preserve"> </w:t>
      </w:r>
      <w:r>
        <w:t xml:space="preserve">When you submit this form, it will not automatically collect your details like name and email address unless you provide it yourself.</w:t>
      </w:r>
      <w:r>
        <w:t xml:space="preserve"> </w:t>
      </w:r>
      <w:r>
        <w:t xml:space="preserve">Required</w:t>
      </w:r>
    </w:p>
    <w:bookmarkStart w:id="25" w:name="company-details"/>
    <w:p>
      <w:pPr>
        <w:pStyle w:val="Heading2"/>
      </w:pPr>
      <w:r>
        <w:t xml:space="preserve">Company Details</w:t>
      </w:r>
    </w:p>
    <w:bookmarkStart w:id="20" w:name="company-name"/>
    <w:p>
      <w:pPr>
        <w:pStyle w:val="Heading3"/>
      </w:pPr>
      <w:r>
        <w:t xml:space="preserve">1. Company name</w:t>
      </w:r>
    </w:p>
    <w:bookmarkEnd w:id="20"/>
    <w:bookmarkStart w:id="21" w:name="website"/>
    <w:p>
      <w:pPr>
        <w:pStyle w:val="Heading3"/>
      </w:pPr>
      <w:r>
        <w:t xml:space="preserve">2. Website</w:t>
      </w:r>
    </w:p>
    <w:bookmarkEnd w:id="21"/>
    <w:bookmarkStart w:id="22" w:name="primary-contact-person-name"/>
    <w:p>
      <w:pPr>
        <w:pStyle w:val="Heading3"/>
      </w:pPr>
      <w:r>
        <w:t xml:space="preserve">3. Primary contact person name</w:t>
      </w:r>
    </w:p>
    <w:bookmarkEnd w:id="22"/>
    <w:bookmarkStart w:id="23" w:name="email"/>
    <w:p>
      <w:pPr>
        <w:pStyle w:val="Heading3"/>
      </w:pPr>
      <w:r>
        <w:t xml:space="preserve">4. Email</w:t>
      </w:r>
    </w:p>
    <w:bookmarkEnd w:id="23"/>
    <w:bookmarkStart w:id="24" w:name="country-in-which-company-is-based"/>
    <w:p>
      <w:pPr>
        <w:pStyle w:val="Heading3"/>
      </w:pPr>
      <w:r>
        <w:t xml:space="preserve">5. Country in which company is based</w:t>
      </w:r>
    </w:p>
    <w:bookmarkEnd w:id="24"/>
    <w:bookmarkEnd w:id="25"/>
    <w:bookmarkStart w:id="33" w:name="product-information"/>
    <w:p>
      <w:pPr>
        <w:pStyle w:val="Heading2"/>
      </w:pPr>
      <w:r>
        <w:t xml:space="preserve">Product Information</w:t>
      </w:r>
    </w:p>
    <w:bookmarkStart w:id="26" w:name="product-name"/>
    <w:p>
      <w:pPr>
        <w:pStyle w:val="Heading3"/>
      </w:pPr>
      <w:r>
        <w:t xml:space="preserve">6. Product Name</w:t>
      </w:r>
    </w:p>
    <w:bookmarkEnd w:id="26"/>
    <w:bookmarkStart w:id="27" w:name="product-category"/>
    <w:p>
      <w:pPr>
        <w:pStyle w:val="Heading3"/>
      </w:pPr>
      <w:r>
        <w:t xml:space="preserve">7. Product Category</w:t>
      </w:r>
    </w:p>
    <w:p>
      <w:pPr>
        <w:pStyle w:val="Compact"/>
        <w:numPr>
          <w:ilvl w:val="0"/>
          <w:numId w:val="1001"/>
        </w:numPr>
      </w:pPr>
      <w:r>
        <w:t xml:space="preserve">Curriculum / Content</w:t>
      </w:r>
    </w:p>
    <w:p>
      <w:pPr>
        <w:pStyle w:val="Compact"/>
        <w:numPr>
          <w:ilvl w:val="0"/>
          <w:numId w:val="1001"/>
        </w:numPr>
      </w:pPr>
      <w:r>
        <w:t xml:space="preserve">Assessment</w:t>
      </w:r>
    </w:p>
    <w:p>
      <w:pPr>
        <w:pStyle w:val="Compact"/>
        <w:numPr>
          <w:ilvl w:val="0"/>
          <w:numId w:val="1001"/>
        </w:numPr>
      </w:pPr>
      <w:r>
        <w:t xml:space="preserve">Teacher Productivity / AI Copilot</w:t>
      </w:r>
    </w:p>
    <w:p>
      <w:pPr>
        <w:pStyle w:val="Compact"/>
        <w:numPr>
          <w:ilvl w:val="0"/>
          <w:numId w:val="1001"/>
        </w:numPr>
      </w:pPr>
      <w:r>
        <w:t xml:space="preserve">LMS / Platform</w:t>
      </w:r>
    </w:p>
    <w:p>
      <w:pPr>
        <w:pStyle w:val="Compact"/>
        <w:numPr>
          <w:ilvl w:val="0"/>
          <w:numId w:val="1001"/>
        </w:numPr>
      </w:pPr>
      <w:r>
        <w:t xml:space="preserve">Special Needs / Accessibility</w:t>
      </w:r>
    </w:p>
    <w:p>
      <w:pPr>
        <w:pStyle w:val="Compact"/>
        <w:numPr>
          <w:ilvl w:val="0"/>
          <w:numId w:val="1001"/>
        </w:numPr>
      </w:pPr>
      <w:r>
        <w:t xml:space="preserve">Other</w:t>
      </w:r>
    </w:p>
    <w:bookmarkEnd w:id="27"/>
    <w:bookmarkStart w:id="28" w:name="target-grades"/>
    <w:p>
      <w:pPr>
        <w:pStyle w:val="Heading3"/>
      </w:pPr>
      <w:r>
        <w:t xml:space="preserve">8. Target Grades</w:t>
      </w:r>
    </w:p>
    <w:p>
      <w:pPr>
        <w:pStyle w:val="Compact"/>
        <w:numPr>
          <w:ilvl w:val="0"/>
          <w:numId w:val="1002"/>
        </w:numPr>
      </w:pPr>
      <w:r>
        <w:t xml:space="preserve">K–1</w:t>
      </w:r>
    </w:p>
    <w:p>
      <w:pPr>
        <w:pStyle w:val="Compact"/>
        <w:numPr>
          <w:ilvl w:val="0"/>
          <w:numId w:val="1002"/>
        </w:numPr>
      </w:pPr>
      <w:r>
        <w:t xml:space="preserve">1–3</w:t>
      </w:r>
    </w:p>
    <w:p>
      <w:pPr>
        <w:pStyle w:val="Compact"/>
        <w:numPr>
          <w:ilvl w:val="0"/>
          <w:numId w:val="1002"/>
        </w:numPr>
      </w:pPr>
      <w:r>
        <w:t xml:space="preserve">3–6</w:t>
      </w:r>
    </w:p>
    <w:p>
      <w:pPr>
        <w:pStyle w:val="Compact"/>
        <w:numPr>
          <w:ilvl w:val="0"/>
          <w:numId w:val="1002"/>
        </w:numPr>
      </w:pPr>
      <w:r>
        <w:t xml:space="preserve">7–9</w:t>
      </w:r>
    </w:p>
    <w:p>
      <w:pPr>
        <w:pStyle w:val="Compact"/>
        <w:numPr>
          <w:ilvl w:val="0"/>
          <w:numId w:val="1002"/>
        </w:numPr>
      </w:pPr>
      <w:r>
        <w:t xml:space="preserve">10–12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</w:p>
    <w:bookmarkEnd w:id="28"/>
    <w:bookmarkStart w:id="29" w:name="target-subjects"/>
    <w:p>
      <w:pPr>
        <w:pStyle w:val="Heading3"/>
      </w:pPr>
      <w:r>
        <w:t xml:space="preserve">9. Target Subjects</w:t>
      </w:r>
    </w:p>
    <w:p>
      <w:pPr>
        <w:pStyle w:val="FirstParagraph"/>
      </w:pPr>
      <w:r>
        <w:t xml:space="preserve">Enter your answer</w:t>
      </w:r>
    </w:p>
    <w:bookmarkEnd w:id="29"/>
    <w:bookmarkStart w:id="30" w:name="core-value-proposition"/>
    <w:p>
      <w:pPr>
        <w:pStyle w:val="Heading3"/>
      </w:pPr>
      <w:r>
        <w:t xml:space="preserve">10. Core Value Proposition</w:t>
      </w:r>
    </w:p>
    <w:p>
      <w:pPr>
        <w:pStyle w:val="FirstParagraph"/>
      </w:pPr>
      <w:r>
        <w:t xml:space="preserve">In 2–3 sentences, describe the primary problem your product solves and what makes it uniquely effective (max 150 characters).</w:t>
      </w:r>
    </w:p>
    <w:bookmarkEnd w:id="30"/>
    <w:bookmarkStart w:id="31" w:name="evidence-to-date"/>
    <w:p>
      <w:pPr>
        <w:pStyle w:val="Heading3"/>
      </w:pPr>
      <w:r>
        <w:t xml:space="preserve">11. Evidence to Date</w:t>
      </w:r>
    </w:p>
    <w:p>
      <w:pPr>
        <w:pStyle w:val="FirstParagraph"/>
      </w:pPr>
      <w:r>
        <w:t xml:space="preserve">Describe pilots, studies, or data demonstrating impact. Include links or key results.</w:t>
      </w:r>
    </w:p>
    <w:bookmarkEnd w:id="31"/>
    <w:bookmarkStart w:id="32" w:name="type-of-evidence-available"/>
    <w:p>
      <w:pPr>
        <w:pStyle w:val="Heading3"/>
      </w:pPr>
      <w:r>
        <w:t xml:space="preserve">12. Type of Evidence Available</w:t>
      </w:r>
    </w:p>
    <w:p>
      <w:pPr>
        <w:pStyle w:val="Compact"/>
        <w:numPr>
          <w:ilvl w:val="0"/>
          <w:numId w:val="1003"/>
        </w:numPr>
      </w:pPr>
      <w:r>
        <w:t xml:space="preserve">Internal analytics only</w:t>
      </w:r>
    </w:p>
    <w:p>
      <w:pPr>
        <w:pStyle w:val="Compact"/>
        <w:numPr>
          <w:ilvl w:val="0"/>
          <w:numId w:val="1003"/>
        </w:numPr>
      </w:pPr>
      <w:r>
        <w:t xml:space="preserve">Small pilot (&lt;50 learners)</w:t>
      </w:r>
    </w:p>
    <w:p>
      <w:pPr>
        <w:pStyle w:val="Compact"/>
        <w:numPr>
          <w:ilvl w:val="0"/>
          <w:numId w:val="1003"/>
        </w:numPr>
      </w:pPr>
      <w:r>
        <w:t xml:space="preserve">Large pilot (50–500 learners)</w:t>
      </w:r>
    </w:p>
    <w:p>
      <w:pPr>
        <w:pStyle w:val="Compact"/>
        <w:numPr>
          <w:ilvl w:val="0"/>
          <w:numId w:val="1003"/>
        </w:numPr>
      </w:pPr>
      <w:r>
        <w:t xml:space="preserve">Independent evaluation</w:t>
      </w:r>
    </w:p>
    <w:p>
      <w:pPr>
        <w:pStyle w:val="Compact"/>
        <w:numPr>
          <w:ilvl w:val="0"/>
          <w:numId w:val="1003"/>
        </w:numPr>
      </w:pPr>
      <w:r>
        <w:t xml:space="preserve">RCT / quasi‑experimental</w:t>
      </w:r>
    </w:p>
    <w:p>
      <w:pPr>
        <w:pStyle w:val="Compact"/>
        <w:numPr>
          <w:ilvl w:val="0"/>
          <w:numId w:val="1003"/>
        </w:numPr>
      </w:pPr>
      <w:r>
        <w:t xml:space="preserve">Peer‑reviewed research</w:t>
      </w:r>
    </w:p>
    <w:p>
      <w:pPr>
        <w:pStyle w:val="Compact"/>
        <w:numPr>
          <w:ilvl w:val="0"/>
          <w:numId w:val="1003"/>
        </w:numPr>
      </w:pPr>
      <w:r>
        <w:t xml:space="preserve">None yet</w:t>
      </w:r>
    </w:p>
    <w:p>
      <w:pPr>
        <w:pStyle w:val="Compact"/>
        <w:numPr>
          <w:ilvl w:val="0"/>
          <w:numId w:val="1004"/>
        </w:numPr>
      </w:pPr>
      <w:r>
        <w:t xml:space="preserve">Impact Areas (Select all that apply)</w:t>
      </w:r>
    </w:p>
    <w:p>
      <w:pPr>
        <w:pStyle w:val="Compact"/>
        <w:numPr>
          <w:ilvl w:val="0"/>
          <w:numId w:val="1005"/>
        </w:numPr>
      </w:pPr>
      <w:r>
        <w:t xml:space="preserve">Foundational literacy</w:t>
      </w:r>
    </w:p>
    <w:p>
      <w:pPr>
        <w:pStyle w:val="Compact"/>
        <w:numPr>
          <w:ilvl w:val="0"/>
          <w:numId w:val="1005"/>
        </w:numPr>
      </w:pPr>
      <w:r>
        <w:t xml:space="preserve">Foundational numeracy</w:t>
      </w:r>
    </w:p>
    <w:p>
      <w:pPr>
        <w:pStyle w:val="Compact"/>
        <w:numPr>
          <w:ilvl w:val="0"/>
          <w:numId w:val="1005"/>
        </w:numPr>
      </w:pPr>
      <w:r>
        <w:t xml:space="preserve">Arabic language learning</w:t>
      </w:r>
    </w:p>
    <w:p>
      <w:pPr>
        <w:pStyle w:val="Compact"/>
        <w:numPr>
          <w:ilvl w:val="0"/>
          <w:numId w:val="1005"/>
        </w:numPr>
      </w:pPr>
      <w:r>
        <w:t xml:space="preserve">Teacher workload reduction</w:t>
      </w:r>
    </w:p>
    <w:p>
      <w:pPr>
        <w:pStyle w:val="Compact"/>
        <w:numPr>
          <w:ilvl w:val="0"/>
          <w:numId w:val="1005"/>
        </w:numPr>
      </w:pPr>
      <w:r>
        <w:t xml:space="preserve">Student engagement</w:t>
      </w:r>
    </w:p>
    <w:p>
      <w:pPr>
        <w:pStyle w:val="Compact"/>
        <w:numPr>
          <w:ilvl w:val="0"/>
          <w:numId w:val="1005"/>
        </w:numPr>
      </w:pPr>
      <w:r>
        <w:t xml:space="preserve">Assessment quality</w:t>
      </w:r>
    </w:p>
    <w:p>
      <w:pPr>
        <w:pStyle w:val="Compact"/>
        <w:numPr>
          <w:ilvl w:val="0"/>
          <w:numId w:val="1005"/>
        </w:numPr>
      </w:pPr>
      <w:r>
        <w:t xml:space="preserve">Inclusive education / SEN</w:t>
      </w:r>
    </w:p>
    <w:p>
      <w:pPr>
        <w:pStyle w:val="Compact"/>
        <w:numPr>
          <w:ilvl w:val="0"/>
          <w:numId w:val="1005"/>
        </w:numPr>
      </w:pPr>
      <w:r>
        <w:t xml:space="preserve">Behaviour or wellbeing</w:t>
      </w:r>
    </w:p>
    <w:p>
      <w:pPr>
        <w:pStyle w:val="Compact"/>
        <w:numPr>
          <w:ilvl w:val="0"/>
          <w:numId w:val="1005"/>
        </w:numPr>
      </w:pPr>
      <w:r>
        <w:t xml:space="preserve">Data‑informed instruction</w:t>
      </w:r>
    </w:p>
    <w:p>
      <w:pPr>
        <w:pStyle w:val="Compact"/>
        <w:numPr>
          <w:ilvl w:val="0"/>
          <w:numId w:val="1005"/>
        </w:numPr>
      </w:pPr>
      <w:r>
        <w:t xml:space="preserve">Other</w:t>
      </w:r>
    </w:p>
    <w:p>
      <w:pPr>
        <w:pStyle w:val="Compact"/>
        <w:numPr>
          <w:ilvl w:val="0"/>
          <w:numId w:val="1006"/>
        </w:numPr>
      </w:pPr>
      <w:r>
        <w:t xml:space="preserve">Data &amp; Privacy Compliance Status</w:t>
      </w:r>
    </w:p>
    <w:p>
      <w:pPr>
        <w:pStyle w:val="Compact"/>
        <w:numPr>
          <w:ilvl w:val="0"/>
          <w:numId w:val="1007"/>
        </w:numPr>
      </w:pPr>
      <w:r>
        <w:t xml:space="preserve">Compliant with school/MOEHE policies</w:t>
      </w:r>
    </w:p>
    <w:p>
      <w:pPr>
        <w:pStyle w:val="Compact"/>
        <w:numPr>
          <w:ilvl w:val="0"/>
          <w:numId w:val="1007"/>
        </w:numPr>
      </w:pPr>
      <w:r>
        <w:t xml:space="preserve">Working toward compliance</w:t>
      </w:r>
    </w:p>
    <w:p>
      <w:pPr>
        <w:pStyle w:val="Compact"/>
        <w:numPr>
          <w:ilvl w:val="0"/>
          <w:numId w:val="1007"/>
        </w:numPr>
      </w:pPr>
      <w:r>
        <w:t xml:space="preserve">Not yet aligned</w:t>
      </w:r>
    </w:p>
    <w:p>
      <w:pPr>
        <w:pStyle w:val="Compact"/>
        <w:numPr>
          <w:ilvl w:val="0"/>
          <w:numId w:val="1007"/>
        </w:numPr>
      </w:pPr>
      <w:r>
        <w:t xml:space="preserve">Other</w:t>
      </w:r>
    </w:p>
    <w:p>
      <w:pPr>
        <w:numPr>
          <w:ilvl w:val="0"/>
          <w:numId w:val="1008"/>
        </w:numPr>
      </w:pPr>
      <w:r>
        <w:t xml:space="preserve">Hosting &amp; Data Handling</w:t>
      </w:r>
      <w:r>
        <w:t xml:space="preserve"> </w:t>
      </w:r>
      <w:r>
        <w:t xml:space="preserve">Where is your product hosted, and how is user data collected, stored, and processed?</w:t>
      </w:r>
    </w:p>
    <w:p>
      <w:pPr>
        <w:numPr>
          <w:ilvl w:val="0"/>
          <w:numId w:val="1008"/>
        </w:numPr>
      </w:pPr>
      <w:r>
        <w:t xml:space="preserve">Languages Supported</w:t>
      </w:r>
    </w:p>
    <w:p>
      <w:pPr>
        <w:pStyle w:val="Compact"/>
        <w:numPr>
          <w:ilvl w:val="0"/>
          <w:numId w:val="1009"/>
        </w:numPr>
      </w:pPr>
      <w:r>
        <w:t xml:space="preserve">English</w:t>
      </w:r>
    </w:p>
    <w:p>
      <w:pPr>
        <w:pStyle w:val="Compact"/>
        <w:numPr>
          <w:ilvl w:val="0"/>
          <w:numId w:val="1009"/>
        </w:numPr>
      </w:pPr>
      <w:r>
        <w:t xml:space="preserve">Arabic</w:t>
      </w:r>
    </w:p>
    <w:p>
      <w:pPr>
        <w:pStyle w:val="Compact"/>
        <w:numPr>
          <w:ilvl w:val="0"/>
          <w:numId w:val="1009"/>
        </w:numPr>
      </w:pPr>
      <w:r>
        <w:t xml:space="preserve">Other</w:t>
      </w:r>
    </w:p>
    <w:p>
      <w:pPr>
        <w:pStyle w:val="Compact"/>
        <w:numPr>
          <w:ilvl w:val="0"/>
          <w:numId w:val="1010"/>
        </w:numPr>
      </w:pPr>
      <w:r>
        <w:t xml:space="preserve">Depth of Arabic Support</w:t>
      </w:r>
    </w:p>
    <w:p>
      <w:pPr>
        <w:pStyle w:val="Compact"/>
        <w:numPr>
          <w:ilvl w:val="0"/>
          <w:numId w:val="1011"/>
        </w:numPr>
      </w:pPr>
      <w:r>
        <w:t xml:space="preserve">Full UI + full content</w:t>
      </w:r>
    </w:p>
    <w:p>
      <w:pPr>
        <w:pStyle w:val="Compact"/>
        <w:numPr>
          <w:ilvl w:val="0"/>
          <w:numId w:val="1011"/>
        </w:numPr>
      </w:pPr>
      <w:r>
        <w:t xml:space="preserve">Full UI only</w:t>
      </w:r>
    </w:p>
    <w:p>
      <w:pPr>
        <w:pStyle w:val="Compact"/>
        <w:numPr>
          <w:ilvl w:val="0"/>
          <w:numId w:val="1011"/>
        </w:numPr>
      </w:pPr>
      <w:r>
        <w:t xml:space="preserve">Partial content</w:t>
      </w:r>
    </w:p>
    <w:p>
      <w:pPr>
        <w:pStyle w:val="Compact"/>
        <w:numPr>
          <w:ilvl w:val="0"/>
          <w:numId w:val="1011"/>
        </w:numPr>
      </w:pPr>
      <w:r>
        <w:t xml:space="preserve">Not yet available</w:t>
      </w:r>
    </w:p>
    <w:p>
      <w:pPr>
        <w:pStyle w:val="Compact"/>
        <w:numPr>
          <w:ilvl w:val="0"/>
          <w:numId w:val="1011"/>
        </w:numPr>
      </w:pPr>
      <w:r>
        <w:t xml:space="preserve">Other</w:t>
      </w:r>
    </w:p>
    <w:p>
      <w:pPr>
        <w:pStyle w:val="Compact"/>
        <w:numPr>
          <w:ilvl w:val="0"/>
          <w:numId w:val="1012"/>
        </w:numPr>
      </w:pPr>
      <w:r>
        <w:t xml:space="preserve">Deployment Model</w:t>
      </w:r>
    </w:p>
    <w:p>
      <w:pPr>
        <w:pStyle w:val="Compact"/>
        <w:numPr>
          <w:ilvl w:val="0"/>
          <w:numId w:val="1013"/>
        </w:numPr>
      </w:pPr>
      <w:r>
        <w:t xml:space="preserve">Web‑based (browser, Chromebook compatible)</w:t>
      </w:r>
    </w:p>
    <w:p>
      <w:pPr>
        <w:pStyle w:val="Compact"/>
        <w:numPr>
          <w:ilvl w:val="0"/>
          <w:numId w:val="1013"/>
        </w:numPr>
      </w:pPr>
      <w:r>
        <w:t xml:space="preserve">iOS / iPad app</w:t>
      </w:r>
    </w:p>
    <w:p>
      <w:pPr>
        <w:pStyle w:val="Compact"/>
        <w:numPr>
          <w:ilvl w:val="0"/>
          <w:numId w:val="1013"/>
        </w:numPr>
      </w:pPr>
      <w:r>
        <w:t xml:space="preserve">Android app</w:t>
      </w:r>
    </w:p>
    <w:p>
      <w:pPr>
        <w:pStyle w:val="Compact"/>
        <w:numPr>
          <w:ilvl w:val="0"/>
          <w:numId w:val="1013"/>
        </w:numPr>
      </w:pPr>
      <w:r>
        <w:t xml:space="preserve">Windows application</w:t>
      </w:r>
    </w:p>
    <w:p>
      <w:pPr>
        <w:pStyle w:val="Compact"/>
        <w:numPr>
          <w:ilvl w:val="0"/>
          <w:numId w:val="1013"/>
        </w:numPr>
      </w:pPr>
      <w:r>
        <w:t xml:space="preserve">Other</w:t>
      </w:r>
    </w:p>
    <w:p>
      <w:pPr>
        <w:pStyle w:val="Compact"/>
        <w:numPr>
          <w:ilvl w:val="0"/>
          <w:numId w:val="1014"/>
        </w:numPr>
      </w:pPr>
      <w:r>
        <w:t xml:space="preserve">Funding or Trial Access for Pilot</w:t>
      </w:r>
    </w:p>
    <w:p>
      <w:pPr>
        <w:pStyle w:val="Compact"/>
        <w:numPr>
          <w:ilvl w:val="0"/>
          <w:numId w:val="1015"/>
        </w:numPr>
      </w:pPr>
      <w:r>
        <w:t xml:space="preserve">Yes — fully fund or provide free access</w:t>
      </w:r>
    </w:p>
    <w:p>
      <w:pPr>
        <w:pStyle w:val="Compact"/>
        <w:numPr>
          <w:ilvl w:val="0"/>
          <w:numId w:val="1015"/>
        </w:numPr>
      </w:pPr>
      <w:r>
        <w:t xml:space="preserve">Yes — discounted access</w:t>
      </w:r>
    </w:p>
    <w:p>
      <w:pPr>
        <w:pStyle w:val="Compact"/>
        <w:numPr>
          <w:ilvl w:val="0"/>
          <w:numId w:val="1015"/>
        </w:numPr>
      </w:pPr>
      <w:r>
        <w:t xml:space="preserve">No — standard pricing</w:t>
      </w:r>
    </w:p>
    <w:p>
      <w:pPr>
        <w:pStyle w:val="Compact"/>
        <w:numPr>
          <w:ilvl w:val="0"/>
          <w:numId w:val="1015"/>
        </w:numPr>
      </w:pPr>
      <w:r>
        <w:t xml:space="preserve">Other</w:t>
      </w:r>
    </w:p>
    <w:p>
      <w:pPr>
        <w:pStyle w:val="Compact"/>
        <w:numPr>
          <w:ilvl w:val="0"/>
          <w:numId w:val="1016"/>
        </w:numPr>
      </w:pPr>
      <w:r>
        <w:t xml:space="preserve">Current Use in Qatar Schools</w:t>
      </w:r>
    </w:p>
    <w:p>
      <w:pPr>
        <w:pStyle w:val="Compact"/>
        <w:numPr>
          <w:ilvl w:val="0"/>
          <w:numId w:val="1017"/>
        </w:numPr>
      </w:pPr>
      <w:r>
        <w:t xml:space="preserve">Yes</w:t>
      </w:r>
    </w:p>
    <w:p>
      <w:pPr>
        <w:pStyle w:val="Compact"/>
        <w:numPr>
          <w:ilvl w:val="0"/>
          <w:numId w:val="1017"/>
        </w:numPr>
      </w:pPr>
      <w:r>
        <w:t xml:space="preserve">No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1"/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1"/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1"/>
  </w:num>
  <w:num w:numId="101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5">
    <w:abstractNumId w:val="991"/>
  </w:num>
  <w:num w:numId="101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2026-01-11T15:33:18Z</dcterms:created>
  <dcterms:modified xsi:type="dcterms:W3CDTF">2026-01-11T15:33:18Z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