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自定义数据类型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要实现</w:t>
      </w:r>
      <w:r>
        <w:rPr>
          <w:rFonts w:hint="eastAsia"/>
          <w:lang w:val="en-US" w:eastAsia="zh-CN"/>
        </w:rPr>
        <w:t>writable接口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读写顺序要一致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构造方法如果进行了重写，要显示定义无参的构造方法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重写toString方法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自定义分区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数据分发的策略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如何实现自定义分区？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前提要保证相同</w:t>
      </w:r>
      <w:r>
        <w:rPr>
          <w:rFonts w:hint="eastAsia"/>
          <w:lang w:val="en-US" w:eastAsia="zh-CN"/>
        </w:rPr>
        <w:t>key的数据会发送到同一个reduce中，或者说是分到同一个分区中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Partitioner&lt;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>，这里的key和value的数据类型和map输出的数据类型保持一致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继承</w:t>
      </w:r>
      <w:r>
        <w:rPr>
          <w:rFonts w:hint="eastAsia"/>
          <w:lang w:val="en-US" w:eastAsia="zh-CN"/>
        </w:rPr>
        <w:t>Patitioner这个类，重写分区方法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然后在job中设置使用我们自定义的分区方法进行数据分发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使用MR建立索引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Mr流程回顾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1135" cy="4008120"/>
            <wp:effectExtent l="0" t="0" r="5715" b="11430"/>
            <wp:docPr id="3" name="图片 3" descr="MR流程剖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R流程剖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MR的本地运行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将org包放入java目录下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job.setJar("d:/word.jar");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打包将对应的包名改为word.jar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将word.jar放入对应的目录中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将log4j文件放在resources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设置运行参数，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394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MR的全流程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705" cy="2630170"/>
            <wp:effectExtent l="0" t="0" r="17145" b="17780"/>
            <wp:docPr id="2" name="图片 2" descr="MR全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R全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ADDF2F"/>
    <w:multiLevelType w:val="multilevel"/>
    <w:tmpl w:val="BCADDF2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5AAC049"/>
    <w:multiLevelType w:val="multilevel"/>
    <w:tmpl w:val="E5AAC0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73EF"/>
    <w:rsid w:val="27CF0316"/>
    <w:rsid w:val="3E050F0E"/>
    <w:rsid w:val="6823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冷水</cp:lastModifiedBy>
  <dcterms:modified xsi:type="dcterms:W3CDTF">2019-04-13T07:53:09Z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