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26BC88" w14:textId="77777777" w:rsidR="00395292" w:rsidRDefault="00395292">
      <w:pPr>
        <w:jc w:val="center"/>
      </w:pPr>
      <w:r>
        <w:rPr>
          <w:rFonts w:hint="eastAsia"/>
        </w:rPr>
        <w:t>赋优售货机管理系统的设计与实现</w:t>
      </w:r>
    </w:p>
    <w:p w14:paraId="5C1B6E25" w14:textId="77777777" w:rsidR="00395292" w:rsidRDefault="00395292">
      <w:pPr>
        <w:divId w:val="1631324430"/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t>摘要：</w:t>
      </w:r>
    </w:p>
    <w:p w14:paraId="235D58E3" w14:textId="77777777" w:rsidR="00395292" w:rsidRDefault="00395292">
      <w:pPr>
        <w:divId w:val="2014650156"/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t>关键词：</w:t>
      </w:r>
    </w:p>
    <w:p w14:paraId="4F27AEF7" w14:textId="77777777" w:rsidR="00395292" w:rsidRDefault="00395292">
      <w:pPr>
        <w:jc w:val="center"/>
        <w:rPr>
          <w:rFonts w:hint="eastAsia"/>
        </w:rPr>
      </w:pPr>
      <w:r>
        <w:rPr>
          <w:rFonts w:hint="eastAsia"/>
        </w:rPr>
        <w:t>Design and Implementation of the Fuyou Vending Machine Management System</w:t>
      </w:r>
    </w:p>
    <w:p w14:paraId="407023E7" w14:textId="77777777" w:rsidR="00395292" w:rsidRDefault="00395292">
      <w:pPr>
        <w:divId w:val="1552382383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>Abstract:</w:t>
      </w:r>
    </w:p>
    <w:p w14:paraId="291E3D85" w14:textId="77777777" w:rsidR="00395292" w:rsidRDefault="00395292">
      <w:pPr>
        <w:divId w:val="146762725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Keywords:</w:t>
      </w:r>
    </w:p>
    <w:p w14:paraId="082AE0AD" w14:textId="77777777" w:rsidR="00395292" w:rsidRDefault="00395292">
      <w:pPr>
        <w:jc w:val="center"/>
      </w:pPr>
      <w:r>
        <w:rPr>
          <w:rFonts w:hint="eastAsia"/>
        </w:rPr>
        <w:t>目录</w:t>
      </w:r>
    </w:p>
    <w:p w14:paraId="6FF9F9A7" w14:textId="77777777" w:rsidR="00395292" w:rsidRDefault="00395292">
      <w:pPr>
        <w:divId w:val="336007435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一、系统架构设计</w:t>
      </w:r>
      <w:r>
        <w:rPr>
          <w:rFonts w:hint="eastAsia"/>
          <w:sz w:val="28"/>
          <w:szCs w:val="28"/>
        </w:rPr>
        <w:t>2</w:t>
      </w:r>
    </w:p>
    <w:p w14:paraId="63EB6D55" w14:textId="77777777" w:rsidR="00395292" w:rsidRDefault="00395292">
      <w:pPr>
        <w:divId w:val="1596598576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（一）技术栈与总体架构</w:t>
      </w:r>
      <w:r>
        <w:rPr>
          <w:rFonts w:hint="eastAsia"/>
          <w:sz w:val="28"/>
          <w:szCs w:val="28"/>
        </w:rPr>
        <w:t>2</w:t>
      </w:r>
    </w:p>
    <w:p w14:paraId="59CE44D9" w14:textId="77777777" w:rsidR="00395292" w:rsidRDefault="00395292">
      <w:pPr>
        <w:divId w:val="769814975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（二）模块划分与职责映射</w:t>
      </w:r>
      <w:r>
        <w:rPr>
          <w:rFonts w:hint="eastAsia"/>
          <w:sz w:val="28"/>
          <w:szCs w:val="28"/>
        </w:rPr>
        <w:t>3</w:t>
      </w:r>
    </w:p>
    <w:p w14:paraId="5934130B" w14:textId="77777777" w:rsidR="00395292" w:rsidRDefault="00395292">
      <w:pPr>
        <w:divId w:val="130150105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二、核心模块实现</w:t>
      </w:r>
      <w:r>
        <w:rPr>
          <w:rFonts w:hint="eastAsia"/>
          <w:sz w:val="28"/>
          <w:szCs w:val="28"/>
        </w:rPr>
        <w:t>3</w:t>
      </w:r>
    </w:p>
    <w:p w14:paraId="3DCB8183" w14:textId="77777777" w:rsidR="00395292" w:rsidRDefault="00395292">
      <w:pPr>
        <w:divId w:val="1820615709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（一）后端</w:t>
      </w:r>
      <w:r>
        <w:rPr>
          <w:rFonts w:hint="eastAsia"/>
          <w:sz w:val="28"/>
          <w:szCs w:val="28"/>
        </w:rPr>
        <w:t xml:space="preserve"> fuyou-manage </w:t>
      </w:r>
      <w:r>
        <w:rPr>
          <w:rFonts w:hint="eastAsia"/>
          <w:sz w:val="28"/>
          <w:szCs w:val="28"/>
        </w:rPr>
        <w:t>技术细节</w:t>
      </w:r>
      <w:r>
        <w:rPr>
          <w:rFonts w:hint="eastAsia"/>
          <w:sz w:val="28"/>
          <w:szCs w:val="28"/>
        </w:rPr>
        <w:t>4</w:t>
      </w:r>
    </w:p>
    <w:p w14:paraId="43344360" w14:textId="77777777" w:rsidR="00395292" w:rsidRDefault="00395292">
      <w:pPr>
        <w:divId w:val="1518042391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（二）前端</w:t>
      </w:r>
      <w:r>
        <w:rPr>
          <w:rFonts w:hint="eastAsia"/>
          <w:sz w:val="28"/>
          <w:szCs w:val="28"/>
        </w:rPr>
        <w:t xml:space="preserve"> API </w:t>
      </w:r>
      <w:r>
        <w:rPr>
          <w:rFonts w:hint="eastAsia"/>
          <w:sz w:val="28"/>
          <w:szCs w:val="28"/>
        </w:rPr>
        <w:t>与视图层</w:t>
      </w:r>
      <w:r>
        <w:rPr>
          <w:rFonts w:hint="eastAsia"/>
          <w:sz w:val="28"/>
          <w:szCs w:val="28"/>
        </w:rPr>
        <w:t>5</w:t>
      </w:r>
    </w:p>
    <w:p w14:paraId="470989F9" w14:textId="77777777" w:rsidR="00395292" w:rsidRDefault="00395292">
      <w:pPr>
        <w:divId w:val="342979789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（三）首页数据聚合</w:t>
      </w:r>
      <w:r>
        <w:rPr>
          <w:rFonts w:hint="eastAsia"/>
          <w:sz w:val="28"/>
          <w:szCs w:val="28"/>
        </w:rPr>
        <w:t>5</w:t>
      </w:r>
    </w:p>
    <w:p w14:paraId="53FEF5F7" w14:textId="77777777" w:rsidR="00395292" w:rsidRDefault="00395292">
      <w:pPr>
        <w:divId w:val="2130052377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三、数据库设计与业务逻辑</w:t>
      </w:r>
      <w:r>
        <w:rPr>
          <w:rFonts w:hint="eastAsia"/>
          <w:sz w:val="28"/>
          <w:szCs w:val="28"/>
        </w:rPr>
        <w:t>6</w:t>
      </w:r>
    </w:p>
    <w:p w14:paraId="772EDCC5" w14:textId="77777777" w:rsidR="00395292" w:rsidRDefault="00395292">
      <w:pPr>
        <w:divId w:val="57142538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（一）表结构与索引设计</w:t>
      </w:r>
      <w:r>
        <w:rPr>
          <w:rFonts w:hint="eastAsia"/>
          <w:sz w:val="28"/>
          <w:szCs w:val="28"/>
        </w:rPr>
        <w:t>6</w:t>
      </w:r>
    </w:p>
    <w:p w14:paraId="5BD85BD0" w14:textId="77777777" w:rsidR="00395292" w:rsidRDefault="00395292">
      <w:pPr>
        <w:divId w:val="597253506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（二）典型用例与时序图</w:t>
      </w:r>
      <w:r>
        <w:rPr>
          <w:rFonts w:hint="eastAsia"/>
          <w:sz w:val="28"/>
          <w:szCs w:val="28"/>
        </w:rPr>
        <w:t>7</w:t>
      </w:r>
    </w:p>
    <w:p w14:paraId="16472A49" w14:textId="77777777" w:rsidR="00395292" w:rsidRDefault="00395292">
      <w:pPr>
        <w:divId w:val="1583374828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四、物联网环境集成方案</w:t>
      </w:r>
      <w:r>
        <w:rPr>
          <w:rFonts w:hint="eastAsia"/>
          <w:sz w:val="28"/>
          <w:szCs w:val="28"/>
        </w:rPr>
        <w:t>8</w:t>
      </w:r>
    </w:p>
    <w:p w14:paraId="432DDF54" w14:textId="77777777" w:rsidR="00395292" w:rsidRDefault="00395292">
      <w:pPr>
        <w:divId w:val="920649929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（一）设备注册与鉴权</w:t>
      </w:r>
      <w:r>
        <w:rPr>
          <w:rFonts w:hint="eastAsia"/>
          <w:sz w:val="28"/>
          <w:szCs w:val="28"/>
        </w:rPr>
        <w:t>9</w:t>
      </w:r>
    </w:p>
    <w:p w14:paraId="51DD64D1" w14:textId="77777777" w:rsidR="00395292" w:rsidRDefault="00395292">
      <w:pPr>
        <w:divId w:val="887031715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（二）数据上报与策略下发</w:t>
      </w:r>
      <w:r>
        <w:rPr>
          <w:rFonts w:hint="eastAsia"/>
          <w:sz w:val="28"/>
          <w:szCs w:val="28"/>
        </w:rPr>
        <w:t>10</w:t>
      </w:r>
    </w:p>
    <w:p w14:paraId="357194D2" w14:textId="77777777" w:rsidR="00395292" w:rsidRDefault="00395292">
      <w:pPr>
        <w:divId w:val="54280903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五、实际应用效果与性能测试</w:t>
      </w:r>
      <w:r>
        <w:rPr>
          <w:rFonts w:hint="eastAsia"/>
          <w:sz w:val="28"/>
          <w:szCs w:val="28"/>
        </w:rPr>
        <w:t>11</w:t>
      </w:r>
    </w:p>
    <w:p w14:paraId="61670F88" w14:textId="77777777" w:rsidR="00395292" w:rsidRDefault="00395292">
      <w:pPr>
        <w:divId w:val="193227510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结论</w:t>
      </w:r>
      <w:r>
        <w:rPr>
          <w:rFonts w:hint="eastAsia"/>
          <w:sz w:val="28"/>
          <w:szCs w:val="28"/>
        </w:rPr>
        <w:t>17</w:t>
      </w:r>
    </w:p>
    <w:p w14:paraId="49CBCD0A" w14:textId="77777777" w:rsidR="00395292" w:rsidRDefault="00395292">
      <w:pPr>
        <w:divId w:val="1449547112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参考文献</w:t>
      </w:r>
      <w:r>
        <w:rPr>
          <w:rFonts w:hint="eastAsia"/>
          <w:sz w:val="28"/>
          <w:szCs w:val="28"/>
        </w:rPr>
        <w:t>19</w:t>
      </w:r>
    </w:p>
    <w:p w14:paraId="2A85E368" w14:textId="77777777" w:rsidR="00395292" w:rsidRDefault="00395292">
      <w:pPr>
        <w:divId w:val="1318653281"/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t>一、系统架构设计</w:t>
      </w:r>
    </w:p>
    <w:p w14:paraId="6D71E066" w14:textId="77777777" w:rsidR="00395292" w:rsidRDefault="00395292">
      <w:pPr>
        <w:divId w:val="1352803478"/>
        <w:rPr>
          <w:rFonts w:hint="eastAsia"/>
        </w:rPr>
      </w:pPr>
      <w:r>
        <w:rPr>
          <w:rFonts w:hint="eastAsia"/>
        </w:rPr>
        <w:t>（一）技术栈与总体架构</w:t>
      </w:r>
    </w:p>
    <w:p w14:paraId="44BA9E2B" w14:textId="77777777" w:rsidR="00395292" w:rsidRDefault="00395292">
      <w:pPr>
        <w:pStyle w:val="song"/>
        <w:spacing w:before="0" w:beforeAutospacing="0" w:after="150" w:afterAutospacing="0"/>
        <w:rPr>
          <w:rFonts w:hint="eastAsia"/>
        </w:rPr>
      </w:pPr>
      <w:r>
        <w:rPr>
          <w:rFonts w:hint="eastAsia"/>
        </w:rPr>
        <w:t>本系统后端采用</w:t>
      </w:r>
      <w:r>
        <w:rPr>
          <w:rFonts w:hint="eastAsia"/>
        </w:rPr>
        <w:t xml:space="preserve"> Spring Boot </w:t>
      </w:r>
      <w:r>
        <w:rPr>
          <w:rFonts w:hint="eastAsia"/>
        </w:rPr>
        <w:t>作为应用基础框架，集成</w:t>
      </w:r>
      <w:r>
        <w:rPr>
          <w:rFonts w:hint="eastAsia"/>
        </w:rPr>
        <w:t xml:space="preserve"> MyBatis </w:t>
      </w:r>
      <w:r>
        <w:rPr>
          <w:rFonts w:hint="eastAsia"/>
        </w:rPr>
        <w:t>进行数据访问与分页处理，使用</w:t>
      </w:r>
      <w:r>
        <w:rPr>
          <w:rFonts w:hint="eastAsia"/>
        </w:rPr>
        <w:t xml:space="preserve"> Redis </w:t>
      </w:r>
      <w:r>
        <w:rPr>
          <w:rFonts w:hint="eastAsia"/>
        </w:rPr>
        <w:t>实现令牌续期与缓存治理，利用</w:t>
      </w:r>
      <w:r>
        <w:rPr>
          <w:rFonts w:hint="eastAsia"/>
        </w:rPr>
        <w:t xml:space="preserve"> Quartz </w:t>
      </w:r>
      <w:r>
        <w:rPr>
          <w:rFonts w:hint="eastAsia"/>
        </w:rPr>
        <w:t>完成定时任务编排与运行日志记录；安全方面以</w:t>
      </w:r>
      <w:r>
        <w:rPr>
          <w:rFonts w:hint="eastAsia"/>
        </w:rPr>
        <w:t xml:space="preserve"> JWT </w:t>
      </w:r>
      <w:r>
        <w:rPr>
          <w:rFonts w:hint="eastAsia"/>
        </w:rPr>
        <w:t>为核心的无状态认证，并通过权限注解实现细粒度授权控制。前端采用</w:t>
      </w:r>
      <w:r>
        <w:rPr>
          <w:rFonts w:hint="eastAsia"/>
        </w:rPr>
        <w:t xml:space="preserve"> Vue3 </w:t>
      </w:r>
      <w:r>
        <w:rPr>
          <w:rFonts w:hint="eastAsia"/>
        </w:rPr>
        <w:t>技术栈与动态路由机制，结合</w:t>
      </w:r>
      <w:r>
        <w:rPr>
          <w:rFonts w:hint="eastAsia"/>
        </w:rPr>
        <w:t xml:space="preserve"> Axios </w:t>
      </w:r>
      <w:r>
        <w:rPr>
          <w:rFonts w:hint="eastAsia"/>
        </w:rPr>
        <w:t>在请求头附带</w:t>
      </w:r>
      <w:r>
        <w:rPr>
          <w:rFonts w:hint="eastAsia"/>
        </w:rPr>
        <w:t xml:space="preserve"> Authorization </w:t>
      </w:r>
      <w:r>
        <w:rPr>
          <w:rFonts w:hint="eastAsia"/>
        </w:rPr>
        <w:t>令牌，实现统一认证与接口调用。</w:t>
      </w:r>
    </w:p>
    <w:p w14:paraId="4652ADDD" w14:textId="77777777" w:rsidR="00395292" w:rsidRDefault="00395292">
      <w:pPr>
        <w:divId w:val="573011141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0CE63ADE" wp14:editId="776D113D">
            <wp:extent cx="9144000" cy="5143500"/>
            <wp:effectExtent l="0" t="0" r="0" b="0"/>
            <wp:docPr id="1" name="图片 1" descr="系统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系统架构图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link="rId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4D3BF" w14:textId="77777777" w:rsidR="00395292" w:rsidRDefault="00395292">
      <w:pPr>
        <w:divId w:val="1419249047"/>
        <w:rPr>
          <w:rFonts w:hint="eastAsia"/>
        </w:rPr>
      </w:pPr>
      <w:r>
        <w:rPr>
          <w:rFonts w:hint="eastAsia"/>
        </w:rPr>
        <w:t>（二）模块划分与职责映射</w:t>
      </w:r>
    </w:p>
    <w:p w14:paraId="219C25C6" w14:textId="77777777" w:rsidR="00395292" w:rsidRDefault="00395292">
      <w:pPr>
        <w:pStyle w:val="song"/>
        <w:spacing w:before="0" w:beforeAutospacing="0" w:after="150" w:afterAutospacing="0"/>
        <w:rPr>
          <w:rFonts w:hint="eastAsia"/>
        </w:rPr>
      </w:pPr>
      <w:r>
        <w:rPr>
          <w:rFonts w:hint="eastAsia"/>
        </w:rPr>
        <w:t>后端工程划分为多模块：</w:t>
      </w:r>
      <w:r>
        <w:rPr>
          <w:rFonts w:hint="eastAsia"/>
        </w:rPr>
        <w:t xml:space="preserve">fuyou-admin </w:t>
      </w:r>
      <w:r>
        <w:rPr>
          <w:rFonts w:hint="eastAsia"/>
        </w:rPr>
        <w:t>负责应用启动与对外控制器；</w:t>
      </w:r>
      <w:r>
        <w:rPr>
          <w:rFonts w:hint="eastAsia"/>
        </w:rPr>
        <w:t xml:space="preserve">fuyou-framework </w:t>
      </w:r>
      <w:r>
        <w:rPr>
          <w:rFonts w:hint="eastAsia"/>
        </w:rPr>
        <w:t>承载安全、配置与拦截器等通用基础设施；</w:t>
      </w:r>
      <w:r>
        <w:rPr>
          <w:rFonts w:hint="eastAsia"/>
        </w:rPr>
        <w:t xml:space="preserve">fuyou-common </w:t>
      </w:r>
      <w:r>
        <w:rPr>
          <w:rFonts w:hint="eastAsia"/>
        </w:rPr>
        <w:t>提供常量、工具与通用模型；</w:t>
      </w:r>
      <w:r>
        <w:rPr>
          <w:rFonts w:hint="eastAsia"/>
        </w:rPr>
        <w:t xml:space="preserve">fuyou-system </w:t>
      </w:r>
      <w:r>
        <w:rPr>
          <w:rFonts w:hint="eastAsia"/>
        </w:rPr>
        <w:t>管理系统域（用户、角色、菜单、配置与审计）；</w:t>
      </w:r>
      <w:r>
        <w:rPr>
          <w:rFonts w:hint="eastAsia"/>
        </w:rPr>
        <w:t xml:space="preserve">fuyou-manage </w:t>
      </w:r>
      <w:r>
        <w:rPr>
          <w:rFonts w:hint="eastAsia"/>
        </w:rPr>
        <w:t>实现售货机业务（设备、点位、渠道、任务等）；</w:t>
      </w:r>
      <w:r>
        <w:rPr>
          <w:rFonts w:hint="eastAsia"/>
        </w:rPr>
        <w:t xml:space="preserve">fuyou-quartz </w:t>
      </w:r>
      <w:r>
        <w:rPr>
          <w:rFonts w:hint="eastAsia"/>
        </w:rPr>
        <w:t>提供任务调度与日志；</w:t>
      </w:r>
      <w:r>
        <w:rPr>
          <w:rFonts w:hint="eastAsia"/>
        </w:rPr>
        <w:t xml:space="preserve">fuyou-generator </w:t>
      </w:r>
      <w:r>
        <w:rPr>
          <w:rFonts w:hint="eastAsia"/>
        </w:rPr>
        <w:t>负责代码生成与前端模板。</w:t>
      </w:r>
    </w:p>
    <w:p w14:paraId="7E61D93E" w14:textId="77777777" w:rsidR="00395292" w:rsidRDefault="00395292">
      <w:pPr>
        <w:divId w:val="2127889574"/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t>二、核心模块实现</w:t>
      </w:r>
    </w:p>
    <w:p w14:paraId="0AD82832" w14:textId="77777777" w:rsidR="00395292" w:rsidRDefault="00395292">
      <w:pPr>
        <w:divId w:val="1687754996"/>
        <w:rPr>
          <w:rFonts w:hint="eastAsia"/>
        </w:rPr>
      </w:pPr>
      <w:r>
        <w:rPr>
          <w:rFonts w:hint="eastAsia"/>
        </w:rPr>
        <w:t>（一）后端</w:t>
      </w:r>
      <w:r>
        <w:rPr>
          <w:rFonts w:hint="eastAsia"/>
        </w:rPr>
        <w:t xml:space="preserve"> fuyou-manage </w:t>
      </w:r>
      <w:r>
        <w:rPr>
          <w:rFonts w:hint="eastAsia"/>
        </w:rPr>
        <w:t>技术细节</w:t>
      </w:r>
    </w:p>
    <w:p w14:paraId="218AC5A1" w14:textId="77777777" w:rsidR="00395292" w:rsidRDefault="00395292">
      <w:pPr>
        <w:pStyle w:val="song"/>
        <w:spacing w:before="0" w:beforeAutospacing="0" w:after="150" w:afterAutospacing="0"/>
        <w:rPr>
          <w:rFonts w:hint="eastAsia"/>
        </w:rPr>
      </w:pPr>
      <w:r>
        <w:rPr>
          <w:rFonts w:hint="eastAsia"/>
        </w:rPr>
        <w:t>以设备管理为例，控制器提供分页查询、导出、详情、增改删等能力，并结合权限注解与业务日志。服务层封装业务校验与事务处理，数据访问层编写高性能</w:t>
      </w:r>
      <w:r>
        <w:rPr>
          <w:rFonts w:hint="eastAsia"/>
        </w:rPr>
        <w:t xml:space="preserve"> SQL</w:t>
      </w:r>
      <w:r>
        <w:rPr>
          <w:rFonts w:hint="eastAsia"/>
        </w:rPr>
        <w:t>，实现复杂条件检索与批量操作。典型实现包括列表分页、数据导出、权限控制与标准的增删改查接口统一对外，满足运维与运营的管理需求。</w:t>
      </w:r>
    </w:p>
    <w:p w14:paraId="63CC858E" w14:textId="77777777" w:rsidR="00395292" w:rsidRDefault="00395292">
      <w:pPr>
        <w:divId w:val="1537427555"/>
        <w:rPr>
          <w:rFonts w:hint="eastAsia"/>
        </w:rPr>
      </w:pPr>
      <w:r>
        <w:rPr>
          <w:rFonts w:hint="eastAsia"/>
        </w:rPr>
        <w:t>（二）前端</w:t>
      </w:r>
      <w:r>
        <w:rPr>
          <w:rFonts w:hint="eastAsia"/>
        </w:rPr>
        <w:t xml:space="preserve"> API </w:t>
      </w:r>
      <w:r>
        <w:rPr>
          <w:rFonts w:hint="eastAsia"/>
        </w:rPr>
        <w:t>与视图层</w:t>
      </w:r>
    </w:p>
    <w:p w14:paraId="382C9125" w14:textId="77777777" w:rsidR="00395292" w:rsidRDefault="00395292">
      <w:pPr>
        <w:pStyle w:val="song"/>
        <w:spacing w:before="0" w:beforeAutospacing="0" w:after="150" w:afterAutospacing="0"/>
        <w:rPr>
          <w:rFonts w:hint="eastAsia"/>
        </w:rPr>
      </w:pPr>
      <w:r>
        <w:rPr>
          <w:rFonts w:hint="eastAsia"/>
        </w:rPr>
        <w:t>管理接口层统一封装请求方法、基址与令牌注入；管理视图层提供表格、表单与图表组件，实现设备、点位与任务等页面的交互。首页接口层聚合关键指标，如设备运行状态与任务完成率，用于运营看板展示并支撑管理决策。</w:t>
      </w:r>
    </w:p>
    <w:p w14:paraId="20C91C40" w14:textId="77777777" w:rsidR="00395292" w:rsidRDefault="00395292">
      <w:pPr>
        <w:divId w:val="197818872"/>
        <w:rPr>
          <w:rFonts w:hint="eastAsia"/>
        </w:rPr>
      </w:pPr>
      <w:r>
        <w:rPr>
          <w:rFonts w:hint="eastAsia"/>
        </w:rPr>
        <w:t>（三）首页数据聚合</w:t>
      </w:r>
    </w:p>
    <w:p w14:paraId="5E4D74A0" w14:textId="77777777" w:rsidR="00395292" w:rsidRDefault="00395292">
      <w:pPr>
        <w:pStyle w:val="song"/>
        <w:spacing w:before="0" w:beforeAutospacing="0" w:after="150" w:afterAutospacing="0"/>
        <w:rPr>
          <w:rFonts w:hint="eastAsia"/>
        </w:rPr>
      </w:pPr>
      <w:r>
        <w:rPr>
          <w:rFonts w:hint="eastAsia"/>
        </w:rPr>
        <w:t>首页模块通过组合查询与缓存策略，汇总设备运行状态、任务完成情况与渠道</w:t>
      </w:r>
      <w:r>
        <w:rPr>
          <w:rFonts w:hint="eastAsia"/>
        </w:rPr>
        <w:t>/</w:t>
      </w:r>
      <w:r>
        <w:rPr>
          <w:rFonts w:hint="eastAsia"/>
        </w:rPr>
        <w:t>点位的关键统计指标，提升管理的可观测性。</w:t>
      </w:r>
    </w:p>
    <w:p w14:paraId="5C8012DD" w14:textId="77777777" w:rsidR="00395292" w:rsidRDefault="00395292">
      <w:pPr>
        <w:divId w:val="1386760616"/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t>三、数据库设计与业务逻辑</w:t>
      </w:r>
    </w:p>
    <w:p w14:paraId="386081FA" w14:textId="77777777" w:rsidR="00395292" w:rsidRDefault="00395292">
      <w:pPr>
        <w:divId w:val="1449078984"/>
        <w:rPr>
          <w:rFonts w:hint="eastAsia"/>
        </w:rPr>
      </w:pPr>
      <w:r>
        <w:rPr>
          <w:rFonts w:hint="eastAsia"/>
        </w:rPr>
        <w:t>（一）表结构与索引设计</w:t>
      </w:r>
    </w:p>
    <w:p w14:paraId="6967178E" w14:textId="77777777" w:rsidR="00395292" w:rsidRDefault="00395292">
      <w:pPr>
        <w:pStyle w:val="song"/>
        <w:spacing w:before="0" w:beforeAutospacing="0" w:after="150" w:afterAutospacing="0"/>
        <w:rPr>
          <w:rFonts w:hint="eastAsia"/>
        </w:rPr>
      </w:pPr>
      <w:r>
        <w:rPr>
          <w:rFonts w:hint="eastAsia"/>
        </w:rPr>
        <w:t xml:space="preserve">manage </w:t>
      </w:r>
      <w:r>
        <w:rPr>
          <w:rFonts w:hint="eastAsia"/>
        </w:rPr>
        <w:t>模块围绕设备（</w:t>
      </w:r>
      <w:r>
        <w:rPr>
          <w:rFonts w:hint="eastAsia"/>
        </w:rPr>
        <w:t>VendingMachine</w:t>
      </w:r>
      <w:r>
        <w:rPr>
          <w:rFonts w:hint="eastAsia"/>
        </w:rPr>
        <w:t>）、点位（</w:t>
      </w:r>
      <w:r>
        <w:rPr>
          <w:rFonts w:hint="eastAsia"/>
        </w:rPr>
        <w:t>Node</w:t>
      </w:r>
      <w:r>
        <w:rPr>
          <w:rFonts w:hint="eastAsia"/>
        </w:rPr>
        <w:t>）、任务（</w:t>
      </w:r>
      <w:r>
        <w:rPr>
          <w:rFonts w:hint="eastAsia"/>
        </w:rPr>
        <w:t>Task/TaskDetails</w:t>
      </w:r>
      <w:r>
        <w:rPr>
          <w:rFonts w:hint="eastAsia"/>
        </w:rPr>
        <w:t>）、渠道（</w:t>
      </w:r>
      <w:r>
        <w:rPr>
          <w:rFonts w:hint="eastAsia"/>
        </w:rPr>
        <w:t>Channel</w:t>
      </w:r>
      <w:r>
        <w:rPr>
          <w:rFonts w:hint="eastAsia"/>
        </w:rPr>
        <w:t>）等实体进行建模。根据业务访问特性，合理设计主键、唯一约束与复合索引，确保列表分页与条件查询的性能表现；并通过软删除标记与状态字段控制生命周期，配合审计日志实现可追踪性。</w:t>
      </w:r>
    </w:p>
    <w:p w14:paraId="32FF8438" w14:textId="77777777" w:rsidR="00395292" w:rsidRDefault="00395292">
      <w:pPr>
        <w:divId w:val="2110806898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E3B5303" wp14:editId="34EC6BB0">
            <wp:extent cx="9144000" cy="6096000"/>
            <wp:effectExtent l="0" t="0" r="0" b="0"/>
            <wp:docPr id="2" name="图片 2" descr="ER 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R 图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link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025D3" w14:textId="77777777" w:rsidR="00395292" w:rsidRDefault="00395292">
      <w:pPr>
        <w:divId w:val="931359375"/>
        <w:rPr>
          <w:rFonts w:hint="eastAsia"/>
        </w:rPr>
      </w:pPr>
      <w:r>
        <w:rPr>
          <w:rFonts w:hint="eastAsia"/>
        </w:rPr>
        <w:t>（二）典型用例与时序图</w:t>
      </w:r>
    </w:p>
    <w:p w14:paraId="4237BC16" w14:textId="77777777" w:rsidR="00395292" w:rsidRDefault="00395292">
      <w:pPr>
        <w:divId w:val="634025279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CEC115B" wp14:editId="3762C8C5">
            <wp:extent cx="304800" cy="304800"/>
            <wp:effectExtent l="0" t="0" r="0" b="0"/>
            <wp:docPr id="3" name="图片 3" descr="登录与权限时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登录与权限时序图"/>
                    <pic:cNvPicPr>
                      <a:picLocks noChangeAspect="1" noChangeArrowheads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link="rId1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766D0" w14:textId="77777777" w:rsidR="00395292" w:rsidRDefault="00395292">
      <w:pPr>
        <w:divId w:val="297927825"/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 xml:space="preserve">1. </w:t>
      </w:r>
      <w:r>
        <w:rPr>
          <w:rFonts w:ascii="楷体" w:eastAsia="楷体" w:hAnsi="楷体" w:hint="eastAsia"/>
        </w:rPr>
        <w:t>设备管理用例</w:t>
      </w:r>
    </w:p>
    <w:p w14:paraId="3B703D10" w14:textId="77777777" w:rsidR="00395292" w:rsidRDefault="00395292">
      <w:pPr>
        <w:pStyle w:val="song"/>
        <w:spacing w:before="0" w:beforeAutospacing="0" w:after="150" w:afterAutospacing="0"/>
        <w:rPr>
          <w:rFonts w:hint="eastAsia"/>
        </w:rPr>
      </w:pPr>
      <w:r>
        <w:rPr>
          <w:rFonts w:hint="eastAsia"/>
        </w:rPr>
        <w:t>包含设备注册、信息维护、状态监控与导出报表；流程上由前端视图提交请求，后端控制器进行鉴权与参数校验，服务层执行业务逻辑与持久化，最终返回标准响应。异常场景通过统一异常处理与错误码返回，保障界面的可用性与可恢复性。</w:t>
      </w:r>
    </w:p>
    <w:p w14:paraId="5BE36042" w14:textId="77777777" w:rsidR="00395292" w:rsidRDefault="00395292">
      <w:pPr>
        <w:divId w:val="975338294"/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 xml:space="preserve">2. </w:t>
      </w:r>
      <w:r>
        <w:rPr>
          <w:rFonts w:ascii="楷体" w:eastAsia="楷体" w:hAnsi="楷体" w:hint="eastAsia"/>
        </w:rPr>
        <w:t>任务明细用例</w:t>
      </w:r>
    </w:p>
    <w:p w14:paraId="3CF0AED3" w14:textId="77777777" w:rsidR="00395292" w:rsidRDefault="00395292">
      <w:pPr>
        <w:pStyle w:val="song"/>
        <w:spacing w:before="0" w:beforeAutospacing="0" w:after="150" w:afterAutospacing="0"/>
        <w:rPr>
          <w:rFonts w:hint="eastAsia"/>
        </w:rPr>
      </w:pPr>
      <w:r>
        <w:rPr>
          <w:rFonts w:hint="eastAsia"/>
        </w:rPr>
        <w:t>围绕任务的创建、分派、执行与记录，支持批量插入与更新，并通过</w:t>
      </w:r>
      <w:r>
        <w:rPr>
          <w:rFonts w:hint="eastAsia"/>
        </w:rPr>
        <w:t xml:space="preserve"> Quartz </w:t>
      </w:r>
      <w:r>
        <w:rPr>
          <w:rFonts w:hint="eastAsia"/>
        </w:rPr>
        <w:t>定时触发任务或统计汇总，保障运维流程的可控与可追踪。对任务状态的变更进行审计记录，便于后续的追责与问题定位。</w:t>
      </w:r>
    </w:p>
    <w:p w14:paraId="786FAF3D" w14:textId="77777777" w:rsidR="00395292" w:rsidRDefault="00395292">
      <w:pPr>
        <w:divId w:val="1793135273"/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t>四、物联网环境集成方案</w:t>
      </w:r>
    </w:p>
    <w:p w14:paraId="6FA2A826" w14:textId="77777777" w:rsidR="00395292" w:rsidRDefault="00395292">
      <w:pPr>
        <w:divId w:val="1736194862"/>
        <w:rPr>
          <w:rFonts w:hint="eastAsia"/>
        </w:rPr>
      </w:pPr>
      <w:r>
        <w:rPr>
          <w:rFonts w:hint="eastAsia"/>
        </w:rPr>
        <w:t>（一）设备注册与鉴权</w:t>
      </w:r>
    </w:p>
    <w:p w14:paraId="4E19B6B6" w14:textId="77777777" w:rsidR="00395292" w:rsidRDefault="00395292">
      <w:pPr>
        <w:pStyle w:val="song"/>
        <w:spacing w:before="0" w:beforeAutospacing="0" w:after="150" w:afterAutospacing="0"/>
        <w:rPr>
          <w:rFonts w:hint="eastAsia"/>
        </w:rPr>
      </w:pPr>
      <w:r>
        <w:rPr>
          <w:rFonts w:hint="eastAsia"/>
        </w:rPr>
        <w:t>设备侧通过序列号与签名进行轻量鉴权，平台侧下发密钥与策略；数据通道采用安全通信协议，结合令牌机制增强访问安全。</w:t>
      </w:r>
    </w:p>
    <w:p w14:paraId="4B83362A" w14:textId="77777777" w:rsidR="00395292" w:rsidRDefault="00395292">
      <w:pPr>
        <w:divId w:val="2142073576"/>
        <w:rPr>
          <w:rFonts w:hint="eastAsia"/>
        </w:rPr>
      </w:pPr>
      <w:r>
        <w:rPr>
          <w:rFonts w:hint="eastAsia"/>
        </w:rPr>
        <w:t>（二）数据上报与策略下发</w:t>
      </w:r>
    </w:p>
    <w:p w14:paraId="03C1BF21" w14:textId="77777777" w:rsidR="00395292" w:rsidRDefault="00395292">
      <w:pPr>
        <w:pStyle w:val="song"/>
        <w:spacing w:before="0" w:beforeAutospacing="0" w:after="150" w:afterAutospacing="0"/>
        <w:rPr>
          <w:rFonts w:hint="eastAsia"/>
        </w:rPr>
      </w:pPr>
      <w:r>
        <w:rPr>
          <w:rFonts w:hint="eastAsia"/>
        </w:rPr>
        <w:t>平台提供数据上报接口与策略下发通道，配合缓存与消息队列提升实时性与可靠性；异常数据通过日志与告警机制快速定位与处理。</w:t>
      </w:r>
    </w:p>
    <w:p w14:paraId="3ACE0E9C" w14:textId="77777777" w:rsidR="00395292" w:rsidRDefault="00395292">
      <w:pPr>
        <w:divId w:val="1592853927"/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t>五、实际应用效果与性能测试</w:t>
      </w:r>
    </w:p>
    <w:p w14:paraId="0E13444D" w14:textId="77777777" w:rsidR="00395292" w:rsidRDefault="00395292">
      <w:pPr>
        <w:divId w:val="1377703420"/>
        <w:rPr>
          <w:rFonts w:hint="eastAsia"/>
        </w:rPr>
      </w:pPr>
      <w:r>
        <w:rPr>
          <w:rFonts w:hint="eastAsia"/>
        </w:rPr>
        <w:t>（一）压测与瓶颈分析</w:t>
      </w:r>
    </w:p>
    <w:p w14:paraId="142FF858" w14:textId="77777777" w:rsidR="00395292" w:rsidRDefault="00395292">
      <w:pPr>
        <w:pStyle w:val="song"/>
        <w:spacing w:before="0" w:beforeAutospacing="0" w:after="150" w:afterAutospacing="0"/>
        <w:rPr>
          <w:rFonts w:hint="eastAsia"/>
        </w:rPr>
      </w:pPr>
      <w:r>
        <w:rPr>
          <w:rFonts w:hint="eastAsia"/>
        </w:rPr>
        <w:t>针对登录鉴权、权限加载、列表查询与任务调度进行压测，分析慢查询与热点数据；通过索引优化、缓存策略与并发控制提升整体吞吐与延迟表现。</w:t>
      </w:r>
    </w:p>
    <w:p w14:paraId="0F570E8E" w14:textId="77777777" w:rsidR="00395292" w:rsidRDefault="00395292">
      <w:pPr>
        <w:divId w:val="85661727"/>
        <w:rPr>
          <w:rFonts w:hint="eastAsia"/>
        </w:rPr>
      </w:pPr>
      <w:r>
        <w:rPr>
          <w:rFonts w:hint="eastAsia"/>
        </w:rPr>
        <w:t>（二）安全评估与优化建议</w:t>
      </w:r>
    </w:p>
    <w:p w14:paraId="19D6151C" w14:textId="77777777" w:rsidR="00395292" w:rsidRDefault="00395292">
      <w:pPr>
        <w:pStyle w:val="song"/>
        <w:spacing w:before="0" w:beforeAutospacing="0" w:after="150" w:afterAutospacing="0"/>
        <w:rPr>
          <w:rFonts w:hint="eastAsia"/>
        </w:rPr>
      </w:pPr>
      <w:r>
        <w:rPr>
          <w:rFonts w:hint="eastAsia"/>
        </w:rPr>
        <w:t>建议将敏感配置外置化并采用环境变量或密钥管理；统一异常处理与日志脱敏，开启限流、防重与幂等保障，降低攻击面与错误重试的副作用。</w:t>
      </w:r>
    </w:p>
    <w:p w14:paraId="44F49D80" w14:textId="77777777" w:rsidR="00395292" w:rsidRDefault="00395292">
      <w:pPr>
        <w:divId w:val="1943145718"/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t>结论</w:t>
      </w:r>
    </w:p>
    <w:p w14:paraId="774B1887" w14:textId="77777777" w:rsidR="00395292" w:rsidRDefault="00395292">
      <w:pPr>
        <w:pStyle w:val="song"/>
        <w:spacing w:before="0" w:beforeAutospacing="0" w:after="150" w:afterAutospacing="0"/>
        <w:rPr>
          <w:rFonts w:hint="eastAsia"/>
        </w:rPr>
      </w:pPr>
      <w:r>
        <w:rPr>
          <w:rFonts w:hint="eastAsia"/>
        </w:rPr>
        <w:t>本文基于若依框架设计并实现了赋优售货机管理系统，完成了认证授权、核心业务与任务调度的闭环，前后端分离与代码生成有效提升了开发效率与维护性。实验与实践表明系统在稳定性、扩展性与可观测性方面表现良好；未来将围绕更精细的权限模型、设备智能运维与</w:t>
      </w:r>
      <w:r>
        <w:rPr>
          <w:rFonts w:hint="eastAsia"/>
        </w:rPr>
        <w:t xml:space="preserve"> DevOps </w:t>
      </w:r>
      <w:r>
        <w:rPr>
          <w:rFonts w:hint="eastAsia"/>
        </w:rPr>
        <w:t>流水线建设持续迭代，推动系统的智能化与规模化演进。</w:t>
      </w:r>
    </w:p>
    <w:p w14:paraId="16F8FBDD" w14:textId="77777777" w:rsidR="00395292" w:rsidRDefault="00395292">
      <w:pPr>
        <w:jc w:val="center"/>
        <w:divId w:val="1001199028"/>
        <w:rPr>
          <w:rFonts w:hint="eastAsia"/>
        </w:rPr>
      </w:pPr>
      <w:r>
        <w:rPr>
          <w:rFonts w:hint="eastAsia"/>
        </w:rPr>
        <w:t>参考文献</w:t>
      </w:r>
    </w:p>
    <w:p w14:paraId="68E31AD5" w14:textId="77777777" w:rsidR="00395292" w:rsidRDefault="00395292">
      <w:pPr>
        <w:divId w:val="530609593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[1] </w:t>
      </w:r>
      <w:r>
        <w:rPr>
          <w:rFonts w:hint="eastAsia"/>
          <w:sz w:val="21"/>
          <w:szCs w:val="21"/>
        </w:rPr>
        <w:t>胡松，江小炜，杨光等</w:t>
      </w:r>
      <w:r>
        <w:rPr>
          <w:rFonts w:hint="eastAsia"/>
          <w:sz w:val="21"/>
          <w:szCs w:val="21"/>
        </w:rPr>
        <w:t xml:space="preserve">. </w:t>
      </w:r>
      <w:r>
        <w:rPr>
          <w:rFonts w:hint="eastAsia"/>
          <w:sz w:val="21"/>
          <w:szCs w:val="21"/>
        </w:rPr>
        <w:t>滑动平均滤波在微弱脉冲信号检测中的应用</w:t>
      </w:r>
      <w:r>
        <w:rPr>
          <w:rFonts w:hint="eastAsia"/>
          <w:sz w:val="21"/>
          <w:szCs w:val="21"/>
        </w:rPr>
        <w:t xml:space="preserve">[J]. </w:t>
      </w:r>
      <w:r>
        <w:rPr>
          <w:rFonts w:hint="eastAsia"/>
          <w:sz w:val="21"/>
          <w:szCs w:val="21"/>
        </w:rPr>
        <w:t>计算机与数字工程</w:t>
      </w:r>
      <w:r>
        <w:rPr>
          <w:rFonts w:hint="eastAsia"/>
          <w:sz w:val="21"/>
          <w:szCs w:val="21"/>
        </w:rPr>
        <w:t>, 2007, 35(10):169-171.</w:t>
      </w:r>
    </w:p>
    <w:p w14:paraId="6B895D81" w14:textId="77777777" w:rsidR="00395292" w:rsidRDefault="00395292">
      <w:pPr>
        <w:divId w:val="1731077226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[2] </w:t>
      </w:r>
      <w:r>
        <w:rPr>
          <w:rFonts w:hint="eastAsia"/>
          <w:sz w:val="21"/>
          <w:szCs w:val="21"/>
        </w:rPr>
        <w:t>葛家澍，林志军</w:t>
      </w:r>
      <w:r>
        <w:rPr>
          <w:rFonts w:hint="eastAsia"/>
          <w:sz w:val="21"/>
          <w:szCs w:val="21"/>
        </w:rPr>
        <w:t xml:space="preserve">. </w:t>
      </w:r>
      <w:r>
        <w:rPr>
          <w:rFonts w:hint="eastAsia"/>
          <w:sz w:val="21"/>
          <w:szCs w:val="21"/>
        </w:rPr>
        <w:t>现代西方财务会计理论</w:t>
      </w:r>
      <w:r>
        <w:rPr>
          <w:rFonts w:hint="eastAsia"/>
          <w:sz w:val="21"/>
          <w:szCs w:val="21"/>
        </w:rPr>
        <w:t xml:space="preserve">[M]. </w:t>
      </w:r>
      <w:r>
        <w:rPr>
          <w:rFonts w:hint="eastAsia"/>
          <w:sz w:val="21"/>
          <w:szCs w:val="21"/>
        </w:rPr>
        <w:t>厦门：厦门大学出版社，</w:t>
      </w:r>
      <w:r>
        <w:rPr>
          <w:rFonts w:hint="eastAsia"/>
          <w:sz w:val="21"/>
          <w:szCs w:val="21"/>
        </w:rPr>
        <w:t>2001</w:t>
      </w:r>
      <w:r>
        <w:rPr>
          <w:rFonts w:hint="eastAsia"/>
          <w:sz w:val="21"/>
          <w:szCs w:val="21"/>
        </w:rPr>
        <w:t>：</w:t>
      </w:r>
      <w:r>
        <w:rPr>
          <w:rFonts w:hint="eastAsia"/>
          <w:sz w:val="21"/>
          <w:szCs w:val="21"/>
        </w:rPr>
        <w:t>42.</w:t>
      </w:r>
    </w:p>
    <w:p w14:paraId="0FD50EEF" w14:textId="77777777" w:rsidR="00395292" w:rsidRDefault="00395292">
      <w:pPr>
        <w:divId w:val="2057700393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[3] Gill, R. Mastering English Literature[M]. London: Macmillan, 1985:42-45.</w:t>
      </w:r>
    </w:p>
    <w:p w14:paraId="7BAA9E0B" w14:textId="77777777" w:rsidR="00395292" w:rsidRDefault="00395292">
      <w:pPr>
        <w:divId w:val="539896529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[4] </w:t>
      </w:r>
      <w:r>
        <w:rPr>
          <w:rFonts w:hint="eastAsia"/>
          <w:sz w:val="21"/>
          <w:szCs w:val="21"/>
        </w:rPr>
        <w:t>夏敬华</w:t>
      </w:r>
      <w:r>
        <w:rPr>
          <w:rFonts w:hint="eastAsia"/>
          <w:sz w:val="21"/>
          <w:szCs w:val="21"/>
        </w:rPr>
        <w:t xml:space="preserve">. </w:t>
      </w:r>
      <w:r>
        <w:rPr>
          <w:rFonts w:hint="eastAsia"/>
          <w:sz w:val="21"/>
          <w:szCs w:val="21"/>
        </w:rPr>
        <w:t>企业流程管理中的常见问题</w:t>
      </w:r>
      <w:r>
        <w:rPr>
          <w:rFonts w:hint="eastAsia"/>
          <w:sz w:val="21"/>
          <w:szCs w:val="21"/>
        </w:rPr>
        <w:t xml:space="preserve">. </w:t>
      </w:r>
      <w:r>
        <w:rPr>
          <w:rFonts w:hint="eastAsia"/>
          <w:sz w:val="21"/>
          <w:szCs w:val="21"/>
        </w:rPr>
        <w:t>企业网</w:t>
      </w:r>
      <w:r>
        <w:rPr>
          <w:rFonts w:hint="eastAsia"/>
          <w:sz w:val="21"/>
          <w:szCs w:val="21"/>
        </w:rPr>
        <w:t xml:space="preserve">. http://www.amteam.org/docs/bpwebsite.asp. </w:t>
      </w:r>
      <w:r>
        <w:rPr>
          <w:rFonts w:hint="eastAsia"/>
          <w:sz w:val="21"/>
          <w:szCs w:val="21"/>
        </w:rPr>
        <w:t>阅读日期：</w:t>
      </w:r>
      <w:r>
        <w:rPr>
          <w:rFonts w:hint="eastAsia"/>
          <w:sz w:val="21"/>
          <w:szCs w:val="21"/>
        </w:rPr>
        <w:t>2003</w:t>
      </w:r>
      <w:r>
        <w:rPr>
          <w:rFonts w:hint="eastAsia"/>
          <w:sz w:val="21"/>
          <w:szCs w:val="21"/>
        </w:rPr>
        <w:t>年</w:t>
      </w:r>
      <w:r>
        <w:rPr>
          <w:rFonts w:hint="eastAsia"/>
          <w:sz w:val="21"/>
          <w:szCs w:val="21"/>
        </w:rPr>
        <w:t>5</w:t>
      </w:r>
      <w:r>
        <w:rPr>
          <w:rFonts w:hint="eastAsia"/>
          <w:sz w:val="21"/>
          <w:szCs w:val="21"/>
        </w:rPr>
        <w:t>月</w:t>
      </w:r>
      <w:r>
        <w:rPr>
          <w:rFonts w:hint="eastAsia"/>
          <w:sz w:val="21"/>
          <w:szCs w:val="21"/>
        </w:rPr>
        <w:t>20</w:t>
      </w:r>
      <w:r>
        <w:rPr>
          <w:rFonts w:hint="eastAsia"/>
          <w:sz w:val="21"/>
          <w:szCs w:val="21"/>
        </w:rPr>
        <w:t>日</w:t>
      </w:r>
    </w:p>
    <w:p w14:paraId="5B7E072D" w14:textId="77777777" w:rsidR="00395292" w:rsidRDefault="00395292">
      <w:r>
        <w:rPr>
          <w:rFonts w:hint="eastAsia"/>
          <w:sz w:val="21"/>
          <w:szCs w:val="21"/>
        </w:rPr>
        <w:pict w14:anchorId="63BCF904"/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C8039D" w14:textId="77777777" w:rsidR="00395292" w:rsidRDefault="00395292" w:rsidP="00395292">
      <w:pPr>
        <w:rPr>
          <w:rFonts w:hint="eastAsia"/>
        </w:rPr>
      </w:pPr>
      <w:r>
        <w:separator/>
      </w:r>
    </w:p>
  </w:endnote>
  <w:endnote w:type="continuationSeparator" w:id="0">
    <w:p w14:paraId="0EF423DB" w14:textId="77777777" w:rsidR="00395292" w:rsidRDefault="00395292" w:rsidP="0039529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7FBA87" w14:textId="77777777" w:rsidR="00395292" w:rsidRDefault="00395292" w:rsidP="00395292">
      <w:pPr>
        <w:rPr>
          <w:rFonts w:hint="eastAsia"/>
        </w:rPr>
      </w:pPr>
      <w:r>
        <w:separator/>
      </w:r>
    </w:p>
  </w:footnote>
  <w:footnote w:type="continuationSeparator" w:id="0">
    <w:p w14:paraId="0400ABC3" w14:textId="77777777" w:rsidR="00395292" w:rsidRDefault="00395292" w:rsidP="0039529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292"/>
    <w:rsid w:val="00395292"/>
    <w:rsid w:val="00691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280B46"/>
  <w15:chartTrackingRefBased/>
  <w15:docId w15:val="{123AFB23-FF54-4672-A5FB-A95388D0F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after="150"/>
    </w:pPr>
  </w:style>
  <w:style w:type="paragraph" w:styleId="a3">
    <w:name w:val="Normal (Web)"/>
    <w:basedOn w:val="a"/>
    <w:uiPriority w:val="99"/>
    <w:semiHidden/>
    <w:unhideWhenUsed/>
    <w:pPr>
      <w:spacing w:after="150"/>
    </w:pPr>
  </w:style>
  <w:style w:type="paragraph" w:customStyle="1" w:styleId="center">
    <w:name w:val="center"/>
    <w:basedOn w:val="a"/>
    <w:pPr>
      <w:spacing w:before="100" w:beforeAutospacing="1" w:after="100" w:afterAutospacing="1"/>
      <w:jc w:val="center"/>
    </w:pPr>
  </w:style>
  <w:style w:type="paragraph" w:customStyle="1" w:styleId="bold">
    <w:name w:val="bold"/>
    <w:basedOn w:val="a"/>
    <w:pPr>
      <w:spacing w:before="100" w:beforeAutospacing="1" w:after="100" w:afterAutospacing="1"/>
    </w:pPr>
    <w:rPr>
      <w:b/>
      <w:bCs/>
    </w:rPr>
  </w:style>
  <w:style w:type="paragraph" w:customStyle="1" w:styleId="indent">
    <w:name w:val="indent"/>
    <w:basedOn w:val="a"/>
    <w:pPr>
      <w:spacing w:before="100" w:beforeAutospacing="1" w:after="100" w:afterAutospacing="1"/>
      <w:ind w:firstLine="480"/>
    </w:pPr>
  </w:style>
  <w:style w:type="paragraph" w:customStyle="1" w:styleId="line13">
    <w:name w:val="line13"/>
    <w:basedOn w:val="a"/>
    <w:pPr>
      <w:spacing w:before="100" w:beforeAutospacing="1" w:after="100" w:afterAutospacing="1"/>
    </w:pPr>
  </w:style>
  <w:style w:type="paragraph" w:customStyle="1" w:styleId="line15">
    <w:name w:val="line15"/>
    <w:basedOn w:val="a"/>
    <w:pPr>
      <w:spacing w:before="100" w:beforeAutospacing="1" w:after="100" w:afterAutospacing="1"/>
    </w:pPr>
  </w:style>
  <w:style w:type="paragraph" w:customStyle="1" w:styleId="hei">
    <w:name w:val="hei"/>
    <w:basedOn w:val="a"/>
    <w:pPr>
      <w:spacing w:before="100" w:beforeAutospacing="1" w:after="100" w:afterAutospacing="1"/>
    </w:pPr>
    <w:rPr>
      <w:rFonts w:ascii="黑体" w:eastAsia="黑体" w:hAnsi="黑体"/>
    </w:rPr>
  </w:style>
  <w:style w:type="paragraph" w:customStyle="1" w:styleId="song">
    <w:name w:val="song"/>
    <w:basedOn w:val="a"/>
    <w:pPr>
      <w:spacing w:before="100" w:beforeAutospacing="1" w:after="100" w:afterAutospacing="1"/>
    </w:pPr>
  </w:style>
  <w:style w:type="paragraph" w:customStyle="1" w:styleId="kai">
    <w:name w:val="kai"/>
    <w:basedOn w:val="a"/>
    <w:pPr>
      <w:spacing w:before="100" w:beforeAutospacing="1" w:after="100" w:afterAutospacing="1"/>
    </w:pPr>
    <w:rPr>
      <w:rFonts w:ascii="楷体" w:eastAsia="楷体" w:hAnsi="楷体"/>
    </w:rPr>
  </w:style>
  <w:style w:type="paragraph" w:customStyle="1" w:styleId="times">
    <w:name w:val="times"/>
    <w:basedOn w:val="a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customStyle="1" w:styleId="size-xiaoer">
    <w:name w:val="size-xiaoer"/>
    <w:basedOn w:val="a"/>
    <w:pPr>
      <w:spacing w:before="100" w:beforeAutospacing="1" w:after="100" w:afterAutospacing="1"/>
    </w:pPr>
    <w:rPr>
      <w:sz w:val="36"/>
      <w:szCs w:val="36"/>
    </w:rPr>
  </w:style>
  <w:style w:type="paragraph" w:customStyle="1" w:styleId="size-san">
    <w:name w:val="size-san"/>
    <w:basedOn w:val="a"/>
    <w:pPr>
      <w:spacing w:before="100" w:beforeAutospacing="1" w:after="100" w:afterAutospacing="1"/>
    </w:pPr>
    <w:rPr>
      <w:sz w:val="32"/>
      <w:szCs w:val="32"/>
    </w:rPr>
  </w:style>
  <w:style w:type="paragraph" w:customStyle="1" w:styleId="size-si">
    <w:name w:val="size-si"/>
    <w:basedOn w:val="a"/>
    <w:pPr>
      <w:spacing w:before="100" w:beforeAutospacing="1" w:after="100" w:afterAutospacing="1"/>
    </w:pPr>
    <w:rPr>
      <w:sz w:val="28"/>
      <w:szCs w:val="28"/>
    </w:rPr>
  </w:style>
  <w:style w:type="paragraph" w:customStyle="1" w:styleId="size-xiaosi">
    <w:name w:val="size-xiaosi"/>
    <w:basedOn w:val="a"/>
    <w:pPr>
      <w:spacing w:before="100" w:beforeAutospacing="1" w:after="100" w:afterAutospacing="1"/>
    </w:pPr>
  </w:style>
  <w:style w:type="paragraph" w:customStyle="1" w:styleId="size-wu">
    <w:name w:val="size-wu"/>
    <w:basedOn w:val="a"/>
    <w:pPr>
      <w:spacing w:before="100" w:beforeAutospacing="1" w:after="100" w:afterAutospacing="1"/>
    </w:pPr>
    <w:rPr>
      <w:sz w:val="21"/>
      <w:szCs w:val="21"/>
    </w:rPr>
  </w:style>
  <w:style w:type="paragraph" w:customStyle="1" w:styleId="h1">
    <w:name w:val="h1"/>
    <w:basedOn w:val="a"/>
    <w:pPr>
      <w:spacing w:before="200" w:after="200"/>
    </w:pPr>
  </w:style>
  <w:style w:type="paragraph" w:customStyle="1" w:styleId="h2">
    <w:name w:val="h2"/>
    <w:basedOn w:val="a"/>
    <w:pPr>
      <w:spacing w:before="101" w:after="101"/>
    </w:pPr>
  </w:style>
  <w:style w:type="paragraph" w:customStyle="1" w:styleId="h3">
    <w:name w:val="h3"/>
    <w:basedOn w:val="a"/>
    <w:pPr>
      <w:spacing w:before="101" w:after="101"/>
    </w:pPr>
  </w:style>
  <w:style w:type="paragraph" w:customStyle="1" w:styleId="toc-title">
    <w:name w:val="toc-title"/>
    <w:basedOn w:val="a"/>
    <w:pPr>
      <w:spacing w:before="300" w:after="300"/>
    </w:pPr>
  </w:style>
  <w:style w:type="paragraph" w:customStyle="1" w:styleId="toc-item">
    <w:name w:val="toc-item"/>
    <w:basedOn w:val="a"/>
    <w:pPr>
      <w:spacing w:before="100" w:beforeAutospacing="1" w:after="100" w:afterAutospacing="1"/>
    </w:pPr>
    <w:rPr>
      <w:sz w:val="28"/>
      <w:szCs w:val="28"/>
    </w:rPr>
  </w:style>
  <w:style w:type="paragraph" w:customStyle="1" w:styleId="dots">
    <w:name w:val="dots"/>
    <w:basedOn w:val="a"/>
    <w:pPr>
      <w:pBdr>
        <w:bottom w:val="dotted" w:sz="6" w:space="0" w:color="999999"/>
      </w:pBdr>
      <w:ind w:left="120" w:right="120"/>
    </w:pPr>
  </w:style>
  <w:style w:type="paragraph" w:customStyle="1" w:styleId="ref-item">
    <w:name w:val="ref-item"/>
    <w:basedOn w:val="a"/>
    <w:pPr>
      <w:spacing w:before="100" w:beforeAutospacing="1" w:after="90"/>
    </w:pPr>
    <w:rPr>
      <w:sz w:val="21"/>
      <w:szCs w:val="21"/>
    </w:rPr>
  </w:style>
  <w:style w:type="character" w:customStyle="1" w:styleId="dots1">
    <w:name w:val="dots1"/>
    <w:basedOn w:val="a0"/>
  </w:style>
  <w:style w:type="paragraph" w:styleId="a4">
    <w:name w:val="header"/>
    <w:basedOn w:val="a"/>
    <w:link w:val="a5"/>
    <w:uiPriority w:val="99"/>
    <w:unhideWhenUsed/>
    <w:rsid w:val="0039529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5292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529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5292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6617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8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278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986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609593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77226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700393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896529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011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51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00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9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1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0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7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5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42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37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64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03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8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27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54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0252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93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82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028">
      <w:marLeft w:val="0"/>
      <w:marRight w:val="0"/>
      <w:marTop w:val="3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32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34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34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606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490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789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72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75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823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39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244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49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48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35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57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50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068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895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35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file:///e:\fuyou-parent\paper\assets\architecture.svg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file:///e:\fuyou-parent\paper\assets\sequence.svg" TargetMode="External"/><Relationship Id="rId4" Type="http://schemas.openxmlformats.org/officeDocument/2006/relationships/footnotes" Target="footnotes.xml"/><Relationship Id="rId9" Type="http://schemas.openxmlformats.org/officeDocument/2006/relationships/image" Target="file:///e:\fuyou-parent\paper\assets\er.svg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346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赋优售货机管理系统的设计与实现</dc:title>
  <dc:subject/>
  <dc:creator>卓 陈</dc:creator>
  <cp:keywords/>
  <dc:description/>
  <cp:lastModifiedBy>卓 陈</cp:lastModifiedBy>
  <cp:revision>2</cp:revision>
  <dcterms:created xsi:type="dcterms:W3CDTF">2025-11-22T08:58:00Z</dcterms:created>
  <dcterms:modified xsi:type="dcterms:W3CDTF">2025-11-22T08:58:00Z</dcterms:modified>
</cp:coreProperties>
</file>