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与丁玲</w:t>
      </w:r>
      <w:r>
        <w:rPr>
          <w:rStyle w:val="FootnoteReference"/>
        </w:rPr>
        <w:footnoteReference w:id="4"/>
      </w:r>
      <w:r>
        <w:rPr/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4F979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（1952年5月）</w:t>
      </w:r>
    </w:p>
    <w:p w14:paraId="28E4C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……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  <w:lang w:eastAsia="zh-CN"/>
        </w:rPr>
        <w:t>周扬</w:t>
      </w:r>
      <w:r>
        <w:rPr>
          <w:rStyle w:val="FootnoteReference"/>
        </w:rPr>
        <w:footnoteReference w:id="5"/>
      </w:r>
      <w:r>
        <w:rPr/>
        <w:t xml:space="preserve">总还是有些优点吧？！</w:t>
      </w:r>
    </w:p>
    <w:p w14:paraId="69B31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  <w:lang w:eastAsia="zh-CN"/>
        </w:rPr>
        <w:t>我看，周扬同志还是有些长处的，他有行政组织工作的能力，也有一定的理论水平。而在这两个方面，我看你丁玲是不如他呢！</w:t>
      </w:r>
    </w:p>
    <w:p w14:paraId="28355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r>
        <w:t>1. 【需核】该谈话原文前的“（……）”省略号表明原文有删节，删节的具体内容和原因需核实。</w:t>
      </w:r>
    </w:p>
    <w:p>
      <w:r>
        <w:t>2. 【需核】丁玲与周扬在1952年的职务和相互关系（二人后来在文艺界整风中有严重冲突），建议核查相关文学史资料。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东方直心同志编著的《毛泽东大传》（2021年终极版）第六卷，第2092页记载内容编辑而成。标题为编者所加。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丁玲（1904—1986），原名蒋伟，湖南临澧人，中国现代女作家。代表作有《莎菲女士的日记》《太阳照在桑干河上》。时任中国作家协会副主席、《文艺报》主编。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周扬（1908—1989），湖南益阳人，文艺理论家。1937年到延安，曾任鲁迅艺术学院院长。时任中共中央宣传部副部长、文化部副部长。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32C5842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2024-07-13T12:41:45Z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95C30A5C061A4A9D9061B56EAD8230D4_13</vt:lpwstr>
  </property>
</Properties>
</file>