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关于处理农村中富农成份的党员的党籍问题的新规定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（1952年6月9日）</w:t>
      </w:r>
    </w:p>
    <w:p w14:paraId="22A87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华东局组织部并告各中央局：</w:t>
      </w:r>
    </w:p>
    <w:p w14:paraId="23EA9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5月10日来函及附件均悉。</w:t>
      </w:r>
    </w:p>
    <w:p w14:paraId="50E26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关于处理农村中富农成份的党员的党籍问题，1949年7月中央组织部复东北局组织部的电中“暂保留其党籍”的规定，今天已不适用，应即作废，特作新的规定如下：</w:t>
      </w:r>
    </w:p>
    <w:p w14:paraId="7DAF4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、目前消灭封建剥削制度的土地改革工作，在全国范围内即将全部完成。土地改革后，农民的生产积极性大大提高，党在农村的农业政策，基本上是“组织起来”实行农业生产互助合作运动。所以农村中党的组织和每一个共产党员，必须积极地宣传并以实际有效的行动，即以模范带头作用，来实现党的这种政策。因此对于已成为阻碍或破坏劳动互助生产合作的富农成份的党员，必须加以严肃地处理，以贯彻党的政策，保持党的纯洁。</w:t>
      </w:r>
    </w:p>
    <w:p w14:paraId="388C7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、在处理农村中富农成份（不论是旧富农或新式富农）党员的党籍时，首先应说明：目前党和人民政府的政策，是允许社会上富农经济的存在和发展的，但共产党员则不准许剥削他人（不论是封建剥削或资本主义剥削），不准许党员去作富农，也不准许党员去作资本家、地主或高利贷者，今后农村发展生产的方向是逐渐走向农业集体化。所以要作一个共产党员就必须取消他的剥削他人的生产方式，积极地参加互助合作运动，如果他接受党的这种意见，他的其他方面，亦未丧失党员条件，自应保留其党籍，党办不应当以富农来看待他。如果他不愿意放弃他的剥削行为，继续进行富农的或其他方式的剥削，则应无条件地开除其党籍。</w:t>
      </w:r>
    </w:p>
    <w:p w14:paraId="4A2D3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三、对于富农家庭出身、不直接参与剥削行为的党员，只要他能坚持党的立场，划清他与剥削者家庭的界限，则其本人的党籍不应受家庭成份的影响。</w:t>
      </w:r>
    </w:p>
    <w:p w14:paraId="011FB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中央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6月9日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东方直心同志编著的《毛泽东大传》（2021年终极版）第六卷，第2096页记载内容编辑而成。标题为编者所加。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6C8E5EC3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2024-07-13T12:54:01Z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BDFD9809E95045B39EF4A1CD5C2634A2_13</vt:lpwstr>
  </property>
</Properties>
</file>