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38D92F">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eastAsia" w:ascii="仿宋" w:hAnsi="仿宋" w:eastAsia="仿宋" w:cs="仿宋"/>
          <w:sz w:val="36"/>
          <w:szCs w:val="36"/>
          <w:lang w:val="en-US" w:eastAsia="zh-CN"/>
        </w:rPr>
      </w:pPr>
      <w:bookmarkStart w:id="0" w:name="_GoBack"/>
      <w:r>
        <w:rPr>
          <w:rFonts w:hint="eastAsia" w:ascii="黑体" w:hAnsi="黑体" w:eastAsia="黑体" w:cs="黑体"/>
          <w:sz w:val="44"/>
          <w:szCs w:val="44"/>
          <w:vertAlign w:val="baseline"/>
          <w:lang w:val="en-US" w:eastAsia="zh-CN"/>
        </w:rPr>
        <w:t>关于培养高等、中等学校马克思列宁主义理论师资的指示</w:t>
      </w:r>
      <w:bookmarkEnd w:id="0"/>
      <w:r>
        <w:rPr>
          <w:rFonts w:hint="eastAsia" w:ascii="仿宋" w:hAnsi="仿宋" w:eastAsia="仿宋" w:cs="仿宋"/>
          <w:sz w:val="36"/>
          <w:szCs w:val="36"/>
          <w:vertAlign w:val="superscript"/>
          <w:lang w:val="en-US" w:eastAsia="zh-CN"/>
        </w:rPr>
        <w:t>[</w:t>
      </w:r>
      <w:r>
        <w:rPr>
          <w:rFonts w:hint="eastAsia" w:ascii="仿宋" w:hAnsi="仿宋" w:eastAsia="仿宋" w:cs="仿宋"/>
          <w:sz w:val="36"/>
          <w:szCs w:val="36"/>
          <w:vertAlign w:val="superscript"/>
          <w:lang w:val="en-US" w:eastAsia="zh-CN"/>
        </w:rPr>
        <w:footnoteReference w:id="0"/>
      </w:r>
      <w:r>
        <w:rPr>
          <w:rFonts w:hint="eastAsia" w:ascii="仿宋" w:hAnsi="仿宋" w:eastAsia="仿宋" w:cs="仿宋"/>
          <w:sz w:val="36"/>
          <w:szCs w:val="36"/>
          <w:vertAlign w:val="superscript"/>
          <w:lang w:val="en-US" w:eastAsia="zh-CN"/>
        </w:rPr>
        <w:t>]</w:t>
      </w:r>
    </w:p>
    <w:p w14:paraId="65E22F96">
      <w:pPr>
        <w:keepNext w:val="0"/>
        <w:keepLines w:val="0"/>
        <w:pageBreakBefore w:val="0"/>
        <w:widowControl w:val="0"/>
        <w:kinsoku/>
        <w:wordWrap/>
        <w:overflowPunct/>
        <w:topLinePunct w:val="0"/>
        <w:autoSpaceDE/>
        <w:autoSpaceDN/>
        <w:bidi w:val="0"/>
        <w:adjustRightInd/>
        <w:snapToGrid/>
        <w:spacing w:before="157" w:beforeLines="50" w:after="157" w:afterLines="50" w:line="580" w:lineRule="exact"/>
        <w:jc w:val="center"/>
        <w:textAlignment w:val="auto"/>
        <w:rPr>
          <w:rFonts w:hint="default" w:ascii="楷体" w:hAnsi="楷体" w:eastAsia="楷体"/>
          <w:sz w:val="36"/>
          <w:szCs w:val="36"/>
          <w:lang w:val="en-US" w:eastAsia="zh-CN"/>
        </w:rPr>
      </w:pPr>
      <w:r>
        <w:rPr>
          <w:rFonts w:hint="eastAsia" w:ascii="楷体" w:hAnsi="楷体" w:eastAsia="楷体"/>
          <w:sz w:val="36"/>
          <w:szCs w:val="36"/>
          <w:lang w:val="en-US" w:eastAsia="zh-CN"/>
        </w:rPr>
        <w:t>（1952年9月1日）</w:t>
      </w:r>
    </w:p>
    <w:p w14:paraId="6BEFA415">
      <w:pPr>
        <w:keepNext w:val="0"/>
        <w:keepLines w:val="0"/>
        <w:pageBreakBefore w:val="0"/>
        <w:widowControl w:val="0"/>
        <w:kinsoku/>
        <w:wordWrap/>
        <w:overflowPunct/>
        <w:topLinePunct w:val="0"/>
        <w:autoSpaceDE/>
        <w:autoSpaceDN/>
        <w:bidi w:val="0"/>
        <w:adjustRightInd/>
        <w:snapToGrid/>
        <w:spacing w:line="580" w:lineRule="exact"/>
        <w:textAlignment w:val="auto"/>
        <w:rPr>
          <w:rFonts w:hint="eastAsia" w:ascii="仿宋" w:hAnsi="仿宋" w:eastAsia="仿宋"/>
          <w:sz w:val="32"/>
          <w:szCs w:val="32"/>
        </w:rPr>
      </w:pPr>
      <w:r>
        <w:rPr>
          <w:rFonts w:hint="eastAsia" w:ascii="仿宋" w:hAnsi="仿宋" w:eastAsia="仿宋"/>
          <w:sz w:val="32"/>
          <w:szCs w:val="32"/>
        </w:rPr>
        <w:t>各中央局、分局并转各省、市委：</w:t>
      </w:r>
    </w:p>
    <w:p w14:paraId="4BDE07A1">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全国高等、中等学校经过这次结合“三反”运动的思想改造和组织清理，肃清封建买办法西斯思想、批判资产阶级思想之后，极需树立工人阶级的思想领导，进行马克思列宁主义的思想建设。而提高马克思列宁主义的政治理论课程的教学水平，则是学校思想建设工作的中心环节。过去由于普遍缺少足够称职的政治理论师资，以致这些课程的教学水平一般都不高。为了加紧培养高等、中等学校政治理论师资，特作如下指示：</w:t>
      </w:r>
    </w:p>
    <w:p w14:paraId="13656319">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一、由中央教育部负责筹划，在中国人民大学创设马克思列宁主义研究班，为全国各高等学校培养一部分政治理论师资。第一期招收研究生</w:t>
      </w:r>
      <w:r>
        <w:rPr>
          <w:rFonts w:hint="eastAsia" w:ascii="仿宋" w:hAnsi="仿宋" w:eastAsia="仿宋"/>
          <w:sz w:val="32"/>
          <w:szCs w:val="32"/>
          <w:lang w:val="en-US" w:eastAsia="zh-CN"/>
        </w:rPr>
        <w:t>三百</w:t>
      </w:r>
      <w:r>
        <w:rPr>
          <w:rFonts w:hint="eastAsia" w:ascii="仿宋" w:hAnsi="仿宋" w:eastAsia="仿宋"/>
          <w:sz w:val="32"/>
          <w:szCs w:val="32"/>
        </w:rPr>
        <w:t>人，研究期限</w:t>
      </w:r>
      <w:r>
        <w:rPr>
          <w:rFonts w:hint="eastAsia" w:ascii="仿宋" w:hAnsi="仿宋" w:eastAsia="仿宋"/>
          <w:sz w:val="32"/>
          <w:szCs w:val="32"/>
          <w:lang w:val="en-US" w:eastAsia="zh-CN"/>
        </w:rPr>
        <w:t>一</w:t>
      </w:r>
      <w:r>
        <w:rPr>
          <w:rFonts w:hint="eastAsia" w:ascii="仿宋" w:hAnsi="仿宋" w:eastAsia="仿宋"/>
          <w:sz w:val="32"/>
          <w:szCs w:val="32"/>
        </w:rPr>
        <w:t>年至</w:t>
      </w:r>
      <w:r>
        <w:rPr>
          <w:rFonts w:hint="eastAsia" w:ascii="仿宋" w:hAnsi="仿宋" w:eastAsia="仿宋"/>
          <w:sz w:val="32"/>
          <w:szCs w:val="32"/>
          <w:lang w:val="en-US" w:eastAsia="zh-CN"/>
        </w:rPr>
        <w:t>两</w:t>
      </w:r>
      <w:r>
        <w:rPr>
          <w:rFonts w:hint="eastAsia" w:ascii="仿宋" w:hAnsi="仿宋" w:eastAsia="仿宋"/>
          <w:sz w:val="32"/>
          <w:szCs w:val="32"/>
        </w:rPr>
        <w:t>年。1952年秋季开始实行。</w:t>
      </w:r>
    </w:p>
    <w:p w14:paraId="62BAF35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二、在高等学校的助教和高等、中等学校高年级学生中选拔优秀的党员、团员在本校担任政治理论课程的助教或助理，经常地指导他们结合自己的实际工作，有系统地学习马克思列宁主义的理论，逐渐培养他们成为高等、中等学校新的政治理论师资。这是现阶段培养政治理论师资的最有效的方法之一，各级党委必须加以重视，并应指定宣传部门的负责干部领导他们的政治理论学习，帮助他们解决工作和学习中的各项问题。</w:t>
      </w:r>
    </w:p>
    <w:p w14:paraId="39AFCFEE">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三、各大行政区应选择具备适当条件的高等学校，举办马克思列宁主义研究班，培养高等学校的政治理论师资；设立政治教育系或政治教育专修科，培养中等学校的政治理论师资。</w:t>
      </w:r>
    </w:p>
    <w:p w14:paraId="06B1A997">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四、各中央局、分局及有关的地方党委应加强对各该地区培养政治理论师资和学校政治教育的领导，指定各级党委的宣传部长或副部长经常亲自领导这一方面的工作；并应选派政治理论水平较高的干部到马克思列宁主义研究班及政治教育系或政治教育专修科教课（专任或兼任），领导政治助教的政治理论学习。在目前各高等、中等学校原有的政治理论师资量少质低，新的师资尚待培养的“青黄不接”时期，尤需大力动员党委、政府、群众团体中政治理论水平较高的干部到学校兼课，或设专题讲座，帮助政治理论教师备课。</w:t>
      </w:r>
    </w:p>
    <w:p w14:paraId="40202FF5">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五、各行政区培养高等、中等学校政治理论师资计划，由各中央局负责拟订；华北</w:t>
      </w:r>
      <w:r>
        <w:rPr>
          <w:rFonts w:hint="eastAsia" w:ascii="仿宋" w:hAnsi="仿宋" w:eastAsia="仿宋"/>
          <w:sz w:val="32"/>
          <w:szCs w:val="32"/>
          <w:lang w:val="en-US" w:eastAsia="zh-CN"/>
        </w:rPr>
        <w:t>五</w:t>
      </w:r>
      <w:r>
        <w:rPr>
          <w:rFonts w:hint="eastAsia" w:ascii="仿宋" w:hAnsi="仿宋" w:eastAsia="仿宋"/>
          <w:sz w:val="32"/>
          <w:szCs w:val="32"/>
        </w:rPr>
        <w:t>省</w:t>
      </w:r>
      <w:r>
        <w:rPr>
          <w:rFonts w:hint="eastAsia" w:ascii="仿宋" w:hAnsi="仿宋" w:eastAsia="仿宋"/>
          <w:sz w:val="32"/>
          <w:szCs w:val="32"/>
          <w:lang w:val="en-US" w:eastAsia="zh-CN"/>
        </w:rPr>
        <w:t>二</w:t>
      </w:r>
      <w:r>
        <w:rPr>
          <w:rFonts w:hint="eastAsia" w:ascii="仿宋" w:hAnsi="仿宋" w:eastAsia="仿宋"/>
          <w:sz w:val="32"/>
          <w:szCs w:val="32"/>
        </w:rPr>
        <w:t>市高等、中等学校政治教师培养计划，由华北局会同中央教育部党组负责拟订。</w:t>
      </w:r>
    </w:p>
    <w:p w14:paraId="4D875E88">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r>
        <w:rPr>
          <w:rFonts w:hint="eastAsia" w:ascii="仿宋" w:hAnsi="仿宋" w:eastAsia="仿宋"/>
          <w:sz w:val="32"/>
          <w:szCs w:val="32"/>
        </w:rPr>
        <w:t>上列计划均须在9月20日以前报告我们。</w:t>
      </w:r>
    </w:p>
    <w:p w14:paraId="6633445D">
      <w:pPr>
        <w:keepNext w:val="0"/>
        <w:keepLines w:val="0"/>
        <w:pageBreakBefore w:val="0"/>
        <w:widowControl w:val="0"/>
        <w:kinsoku/>
        <w:wordWrap/>
        <w:overflowPunct/>
        <w:topLinePunct w:val="0"/>
        <w:autoSpaceDE/>
        <w:autoSpaceDN/>
        <w:bidi w:val="0"/>
        <w:adjustRightInd/>
        <w:snapToGrid/>
        <w:spacing w:line="580" w:lineRule="exact"/>
        <w:ind w:firstLine="646"/>
        <w:textAlignment w:val="auto"/>
        <w:rPr>
          <w:rFonts w:hint="eastAsia" w:ascii="仿宋" w:hAnsi="仿宋" w:eastAsia="仿宋"/>
          <w:sz w:val="32"/>
          <w:szCs w:val="32"/>
        </w:rPr>
      </w:pPr>
    </w:p>
    <w:p w14:paraId="19CB4634">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中央</w:t>
      </w:r>
    </w:p>
    <w:p w14:paraId="11A3E5C1">
      <w:pPr>
        <w:keepNext w:val="0"/>
        <w:keepLines w:val="0"/>
        <w:pageBreakBefore w:val="0"/>
        <w:widowControl w:val="0"/>
        <w:kinsoku/>
        <w:wordWrap/>
        <w:overflowPunct/>
        <w:topLinePunct w:val="0"/>
        <w:autoSpaceDE/>
        <w:autoSpaceDN/>
        <w:bidi w:val="0"/>
        <w:adjustRightInd/>
        <w:snapToGrid/>
        <w:spacing w:line="580" w:lineRule="exact"/>
        <w:ind w:firstLine="646"/>
        <w:jc w:val="right"/>
        <w:textAlignment w:val="auto"/>
        <w:rPr>
          <w:rFonts w:hint="eastAsia" w:ascii="仿宋" w:hAnsi="仿宋" w:eastAsia="仿宋"/>
          <w:sz w:val="32"/>
          <w:szCs w:val="32"/>
        </w:rPr>
      </w:pPr>
      <w:r>
        <w:rPr>
          <w:rFonts w:hint="eastAsia" w:ascii="仿宋" w:hAnsi="仿宋" w:eastAsia="仿宋"/>
          <w:sz w:val="32"/>
          <w:szCs w:val="32"/>
        </w:rPr>
        <w:t>9月1日</w:t>
      </w:r>
    </w:p>
    <w:sectPr>
      <w:footerReference r:id="rId4" w:type="default"/>
      <w:footnotePr>
        <w:numFmt w:val="decimal"/>
      </w:footnotePr>
      <w:pgSz w:w="11906" w:h="16838"/>
      <w:pgMar w:top="1701" w:right="1701" w:bottom="1701" w:left="1701" w:header="851" w:footer="992" w:gutter="113"/>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书宋_GBK">
    <w:altName w:val="微软雅黑"/>
    <w:panose1 w:val="02000000000000000000"/>
    <w:charset w:val="86"/>
    <w:family w:val="auto"/>
    <w:pitch w:val="default"/>
    <w:sig w:usb0="00000000" w:usb1="00000000" w:usb2="00000000" w:usb3="00000000" w:csb0="00040000" w:csb1="00000000"/>
  </w:font>
  <w:font w:name="DejaVu Sans">
    <w:altName w:val="Segoe Print"/>
    <w:panose1 w:val="020B0603030804020204"/>
    <w:charset w:val="00"/>
    <w:family w:val="auto"/>
    <w:pitch w:val="default"/>
    <w:sig w:usb0="00000000" w:usb1="00000000" w:usb2="0A246029" w:usb3="0400200C" w:csb0="600001FF" w:csb1="DFFF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29354485"/>
      <w:docPartObj>
        <w:docPartGallery w:val="autotext"/>
      </w:docPartObj>
    </w:sdtPr>
    <w:sdtEndPr>
      <w:rPr>
        <w:rFonts w:ascii="仿宋" w:hAnsi="仿宋" w:eastAsia="仿宋"/>
        <w:sz w:val="30"/>
        <w:szCs w:val="30"/>
      </w:rPr>
    </w:sdtEndPr>
    <w:sdtContent>
      <w:p w14:paraId="77B07A0E">
        <w:pPr>
          <w:pStyle w:val="3"/>
          <w:jc w:val="center"/>
          <w:rPr>
            <w:rFonts w:ascii="仿宋" w:hAnsi="仿宋" w:eastAsia="仿宋"/>
            <w:sz w:val="30"/>
            <w:szCs w:val="30"/>
          </w:rPr>
        </w:pPr>
        <w:r>
          <w:rPr>
            <w:rFonts w:ascii="仿宋" w:hAnsi="仿宋" w:eastAsia="仿宋"/>
            <w:sz w:val="24"/>
            <w:szCs w:val="24"/>
          </w:rPr>
          <w:fldChar w:fldCharType="begin"/>
        </w:r>
        <w:r>
          <w:rPr>
            <w:rFonts w:ascii="仿宋" w:hAnsi="仿宋" w:eastAsia="仿宋"/>
            <w:sz w:val="24"/>
            <w:szCs w:val="24"/>
          </w:rPr>
          <w:instrText xml:space="preserve">PAGE   \* MERGEFORMAT</w:instrText>
        </w:r>
        <w:r>
          <w:rPr>
            <w:rFonts w:ascii="仿宋" w:hAnsi="仿宋" w:eastAsia="仿宋"/>
            <w:sz w:val="24"/>
            <w:szCs w:val="24"/>
          </w:rPr>
          <w:fldChar w:fldCharType="separate"/>
        </w:r>
        <w:r>
          <w:rPr>
            <w:rFonts w:ascii="仿宋" w:hAnsi="仿宋" w:eastAsia="仿宋"/>
            <w:sz w:val="24"/>
            <w:szCs w:val="24"/>
            <w:lang w:val="zh-CN"/>
          </w:rPr>
          <w:t>-</w:t>
        </w:r>
        <w:r>
          <w:rPr>
            <w:rFonts w:ascii="仿宋" w:hAnsi="仿宋" w:eastAsia="仿宋"/>
            <w:sz w:val="24"/>
            <w:szCs w:val="24"/>
          </w:rPr>
          <w:t xml:space="preserve"> 1 -</w:t>
        </w:r>
        <w:r>
          <w:rPr>
            <w:rFonts w:ascii="仿宋" w:hAnsi="仿宋" w:eastAsia="仿宋"/>
            <w:sz w:val="24"/>
            <w:szCs w:val="24"/>
          </w:rPr>
          <w:fldChar w:fldCharType="end"/>
        </w:r>
      </w:p>
    </w:sdtContent>
  </w:sdt>
  <w:p w14:paraId="01CE1A81">
    <w:pPr>
      <w:pStyle w:val="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
    <w:p>
      <w:r>
        <w:separator/>
      </w:r>
    </w:p>
  </w:footnote>
  <w:footnote w:type="continuationSeparator" w:id="3">
    <w:p>
      <w:r>
        <w:continuationSeparator/>
      </w:r>
    </w:p>
  </w:footnote>
  <w:footnote w:id="0">
    <w:p w14:paraId="343CA7AC">
      <w:pPr>
        <w:keepNext w:val="0"/>
        <w:keepLines w:val="0"/>
        <w:pageBreakBefore w:val="0"/>
        <w:widowControl/>
        <w:suppressLineNumbers w:val="0"/>
        <w:kinsoku/>
        <w:wordWrap/>
        <w:overflowPunct/>
        <w:topLinePunct w:val="0"/>
        <w:bidi w:val="0"/>
        <w:adjustRightInd/>
        <w:snapToGrid/>
        <w:spacing w:line="360" w:lineRule="exact"/>
        <w:jc w:val="both"/>
        <w:textAlignment w:val="auto"/>
        <w:rPr>
          <w:rFonts w:hint="default" w:asciiTheme="minorEastAsia" w:hAnsiTheme="minorEastAsia" w:eastAsiaTheme="minorEastAsia" w:cstheme="minorBidi"/>
          <w:kern w:val="2"/>
          <w:sz w:val="21"/>
          <w:szCs w:val="21"/>
          <w:lang w:val="en-US" w:eastAsia="zh-CN" w:bidi="ar-SA"/>
        </w:rPr>
      </w:pP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eastAsiaTheme="minorEastAsia" w:cstheme="minorBidi"/>
          <w:kern w:val="2"/>
          <w:sz w:val="21"/>
          <w:szCs w:val="21"/>
          <w:lang w:val="en-US" w:eastAsia="zh-CN" w:bidi="ar-SA"/>
        </w:rPr>
        <w:footnoteRef/>
      </w:r>
      <w:r>
        <w:rPr>
          <w:rFonts w:hint="eastAsia" w:asciiTheme="minorEastAsia" w:hAnsiTheme="minorEastAsia" w:eastAsiaTheme="minorEastAsia" w:cstheme="minorBidi"/>
          <w:kern w:val="2"/>
          <w:sz w:val="21"/>
          <w:szCs w:val="21"/>
          <w:lang w:val="en-US" w:eastAsia="zh-CN" w:bidi="ar-SA"/>
        </w:rPr>
        <w:t>]</w:t>
      </w:r>
      <w:r>
        <w:rPr>
          <w:rFonts w:hint="eastAsia" w:asciiTheme="minorEastAsia" w:hAnsiTheme="minorEastAsia" w:cstheme="minorBidi"/>
          <w:kern w:val="2"/>
          <w:sz w:val="21"/>
          <w:szCs w:val="21"/>
          <w:lang w:val="en-US" w:eastAsia="zh-CN" w:bidi="ar-SA"/>
        </w:rPr>
        <w:t>关于本文的真实性及时间还存在争议，《</w:t>
      </w:r>
      <w:r>
        <w:rPr>
          <w:rFonts w:hint="eastAsia" w:asciiTheme="minorEastAsia" w:hAnsiTheme="minorEastAsia" w:eastAsiaTheme="minorEastAsia" w:cstheme="minorBidi"/>
          <w:kern w:val="2"/>
          <w:sz w:val="21"/>
          <w:szCs w:val="21"/>
          <w:lang w:val="en-US" w:eastAsia="zh-CN" w:bidi="ar-SA"/>
        </w:rPr>
        <w:t>毛泽东年谱</w:t>
      </w:r>
      <w:r>
        <w:rPr>
          <w:rFonts w:hint="eastAsia" w:asciiTheme="minorEastAsia" w:hAnsiTheme="minorEastAsia" w:cstheme="minorBidi"/>
          <w:kern w:val="2"/>
          <w:sz w:val="21"/>
          <w:szCs w:val="21"/>
          <w:lang w:val="en-US" w:eastAsia="zh-CN" w:bidi="ar-SA"/>
        </w:rPr>
        <w:t>》中并未记载。</w:t>
      </w:r>
      <w:r>
        <w:rPr>
          <w:rFonts w:hint="eastAsia" w:asciiTheme="minorEastAsia" w:hAnsiTheme="minorEastAsia" w:eastAsiaTheme="minorEastAsia" w:cstheme="minorBidi"/>
          <w:kern w:val="2"/>
          <w:sz w:val="21"/>
          <w:szCs w:val="21"/>
          <w:lang w:val="en-US" w:eastAsia="zh-CN" w:bidi="ar-SA"/>
        </w:rPr>
        <w:t>本文是根据</w:t>
      </w:r>
      <w:r>
        <w:rPr>
          <w:rFonts w:hint="eastAsia" w:asciiTheme="minorEastAsia" w:hAnsiTheme="minorEastAsia" w:cstheme="minorBidi"/>
          <w:kern w:val="2"/>
          <w:sz w:val="21"/>
          <w:szCs w:val="21"/>
          <w:lang w:val="en-US" w:eastAsia="zh-CN" w:bidi="ar-SA"/>
        </w:rPr>
        <w:t>东方直心同志编著的《毛泽东大传》（2021年终极版）第六卷，第2106页记载内容编辑而成。标题为编者所加。</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2"/>
    <w:footnote w:id="3"/>
  </w:foot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mNkN2YzNDgxMWE1MGUyZjc4ZWVmMWVhZDU2MGM3NDEifQ=="/>
  </w:docVars>
  <w:rsids>
    <w:rsidRoot w:val="002C393A"/>
    <w:rsid w:val="00012FE0"/>
    <w:rsid w:val="00066BF1"/>
    <w:rsid w:val="000B6F88"/>
    <w:rsid w:val="000F7120"/>
    <w:rsid w:val="00135E88"/>
    <w:rsid w:val="001701DA"/>
    <w:rsid w:val="00176B6F"/>
    <w:rsid w:val="001834B7"/>
    <w:rsid w:val="001A10C5"/>
    <w:rsid w:val="001A6532"/>
    <w:rsid w:val="00211F2A"/>
    <w:rsid w:val="002463B2"/>
    <w:rsid w:val="00250386"/>
    <w:rsid w:val="00264F13"/>
    <w:rsid w:val="002C393A"/>
    <w:rsid w:val="00316341"/>
    <w:rsid w:val="00317CEA"/>
    <w:rsid w:val="00320EEF"/>
    <w:rsid w:val="003409A2"/>
    <w:rsid w:val="00346801"/>
    <w:rsid w:val="003505B9"/>
    <w:rsid w:val="00362B6F"/>
    <w:rsid w:val="00362DE8"/>
    <w:rsid w:val="00364675"/>
    <w:rsid w:val="003A027A"/>
    <w:rsid w:val="003B1AD2"/>
    <w:rsid w:val="003B5E99"/>
    <w:rsid w:val="003C70D0"/>
    <w:rsid w:val="003E5A0B"/>
    <w:rsid w:val="004015D1"/>
    <w:rsid w:val="00412440"/>
    <w:rsid w:val="00452922"/>
    <w:rsid w:val="004672F0"/>
    <w:rsid w:val="004A479F"/>
    <w:rsid w:val="004B5C00"/>
    <w:rsid w:val="004F448F"/>
    <w:rsid w:val="00503431"/>
    <w:rsid w:val="005278F0"/>
    <w:rsid w:val="00543FAA"/>
    <w:rsid w:val="005A53B8"/>
    <w:rsid w:val="005B7F19"/>
    <w:rsid w:val="005E6256"/>
    <w:rsid w:val="005F3522"/>
    <w:rsid w:val="00625236"/>
    <w:rsid w:val="00625768"/>
    <w:rsid w:val="0063034D"/>
    <w:rsid w:val="00653324"/>
    <w:rsid w:val="00671359"/>
    <w:rsid w:val="0067371F"/>
    <w:rsid w:val="00674365"/>
    <w:rsid w:val="006E537B"/>
    <w:rsid w:val="007471A6"/>
    <w:rsid w:val="0075239A"/>
    <w:rsid w:val="00784C13"/>
    <w:rsid w:val="007967AC"/>
    <w:rsid w:val="007C7631"/>
    <w:rsid w:val="008408F9"/>
    <w:rsid w:val="00871DB2"/>
    <w:rsid w:val="008A1398"/>
    <w:rsid w:val="008B3EC6"/>
    <w:rsid w:val="008B7D32"/>
    <w:rsid w:val="008D57CE"/>
    <w:rsid w:val="008F63FC"/>
    <w:rsid w:val="0096682E"/>
    <w:rsid w:val="009D6E5B"/>
    <w:rsid w:val="009E4715"/>
    <w:rsid w:val="009E5C58"/>
    <w:rsid w:val="00A16FD8"/>
    <w:rsid w:val="00A27FC2"/>
    <w:rsid w:val="00A4066D"/>
    <w:rsid w:val="00A47714"/>
    <w:rsid w:val="00A8372E"/>
    <w:rsid w:val="00AA2F24"/>
    <w:rsid w:val="00AB559C"/>
    <w:rsid w:val="00AF539B"/>
    <w:rsid w:val="00B106B5"/>
    <w:rsid w:val="00B24C50"/>
    <w:rsid w:val="00B40CC0"/>
    <w:rsid w:val="00B40EEB"/>
    <w:rsid w:val="00B71DB6"/>
    <w:rsid w:val="00B775ED"/>
    <w:rsid w:val="00BD07EB"/>
    <w:rsid w:val="00BF34E6"/>
    <w:rsid w:val="00C13602"/>
    <w:rsid w:val="00C43673"/>
    <w:rsid w:val="00CB7B9C"/>
    <w:rsid w:val="00D030B5"/>
    <w:rsid w:val="00D57941"/>
    <w:rsid w:val="00D76E18"/>
    <w:rsid w:val="00D916BA"/>
    <w:rsid w:val="00E009F3"/>
    <w:rsid w:val="00E07725"/>
    <w:rsid w:val="00E550CA"/>
    <w:rsid w:val="00E7165B"/>
    <w:rsid w:val="00EC6B92"/>
    <w:rsid w:val="00ED0962"/>
    <w:rsid w:val="00EE0675"/>
    <w:rsid w:val="00EE1F7A"/>
    <w:rsid w:val="00EF231E"/>
    <w:rsid w:val="00F167B6"/>
    <w:rsid w:val="00F854A7"/>
    <w:rsid w:val="00FB0529"/>
    <w:rsid w:val="00FE453F"/>
    <w:rsid w:val="0F357343"/>
    <w:rsid w:val="1C8D58F4"/>
    <w:rsid w:val="25635848"/>
    <w:rsid w:val="26377E29"/>
    <w:rsid w:val="27E768A4"/>
    <w:rsid w:val="28A41EE5"/>
    <w:rsid w:val="2A992910"/>
    <w:rsid w:val="2FD67A25"/>
    <w:rsid w:val="328F460B"/>
    <w:rsid w:val="3B0F3CF2"/>
    <w:rsid w:val="3BB450BD"/>
    <w:rsid w:val="44414E45"/>
    <w:rsid w:val="457008EB"/>
    <w:rsid w:val="47271474"/>
    <w:rsid w:val="49F03606"/>
    <w:rsid w:val="4CFD38B3"/>
    <w:rsid w:val="5C1A7A34"/>
    <w:rsid w:val="6A167D8E"/>
    <w:rsid w:val="6A6463E1"/>
    <w:rsid w:val="6EF87E48"/>
    <w:rsid w:val="74347E4C"/>
    <w:rsid w:val="78277517"/>
    <w:rsid w:val="9D4B5CFF"/>
    <w:rsid w:val="A3A76BB1"/>
    <w:rsid w:val="BA7B23C6"/>
    <w:rsid w:val="FE7348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autoRedefine/>
    <w:semiHidden/>
    <w:unhideWhenUsed/>
    <w:qFormat/>
    <w:uiPriority w:val="1"/>
  </w:style>
  <w:style w:type="table" w:default="1" w:styleId="6">
    <w:name w:val="Normal Table"/>
    <w:autoRedefine/>
    <w:semiHidden/>
    <w:unhideWhenUsed/>
    <w:qFormat/>
    <w:uiPriority w:val="99"/>
    <w:tblPr>
      <w:tblCellMar>
        <w:top w:w="0" w:type="dxa"/>
        <w:left w:w="108" w:type="dxa"/>
        <w:bottom w:w="0" w:type="dxa"/>
        <w:right w:w="108" w:type="dxa"/>
      </w:tblCellMar>
    </w:tblPr>
  </w:style>
  <w:style w:type="paragraph" w:styleId="2">
    <w:name w:val="Plain Text"/>
    <w:basedOn w:val="1"/>
    <w:link w:val="11"/>
    <w:autoRedefine/>
    <w:semiHidden/>
    <w:unhideWhenUsed/>
    <w:qFormat/>
    <w:uiPriority w:val="0"/>
    <w:rPr>
      <w:rFonts w:ascii="方正书宋_GBK" w:hAnsi="DejaVu Sans"/>
      <w:szCs w:val="24"/>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footnote text"/>
    <w:basedOn w:val="1"/>
    <w:link w:val="12"/>
    <w:autoRedefine/>
    <w:semiHidden/>
    <w:unhideWhenUsed/>
    <w:qFormat/>
    <w:uiPriority w:val="99"/>
    <w:pPr>
      <w:snapToGrid w:val="0"/>
      <w:jc w:val="left"/>
    </w:pPr>
    <w:rPr>
      <w:sz w:val="18"/>
      <w:szCs w:val="18"/>
    </w:rPr>
  </w:style>
  <w:style w:type="character" w:styleId="8">
    <w:name w:val="footnote reference"/>
    <w:basedOn w:val="7"/>
    <w:semiHidden/>
    <w:unhideWhenUsed/>
    <w:qFormat/>
    <w:uiPriority w:val="99"/>
    <w:rPr>
      <w:vertAlign w:val="superscript"/>
    </w:rPr>
  </w:style>
  <w:style w:type="character" w:customStyle="1" w:styleId="9">
    <w:name w:val="页眉 Char"/>
    <w:basedOn w:val="7"/>
    <w:link w:val="4"/>
    <w:autoRedefine/>
    <w:qFormat/>
    <w:uiPriority w:val="99"/>
    <w:rPr>
      <w:sz w:val="18"/>
      <w:szCs w:val="18"/>
    </w:rPr>
  </w:style>
  <w:style w:type="character" w:customStyle="1" w:styleId="10">
    <w:name w:val="页脚 Char"/>
    <w:basedOn w:val="7"/>
    <w:link w:val="3"/>
    <w:autoRedefine/>
    <w:qFormat/>
    <w:uiPriority w:val="99"/>
    <w:rPr>
      <w:sz w:val="18"/>
      <w:szCs w:val="18"/>
    </w:rPr>
  </w:style>
  <w:style w:type="character" w:customStyle="1" w:styleId="11">
    <w:name w:val="纯文本 Char"/>
    <w:basedOn w:val="7"/>
    <w:link w:val="2"/>
    <w:autoRedefine/>
    <w:semiHidden/>
    <w:qFormat/>
    <w:uiPriority w:val="0"/>
    <w:rPr>
      <w:rFonts w:ascii="方正书宋_GBK" w:hAnsi="DejaVu Sans"/>
      <w:szCs w:val="24"/>
    </w:rPr>
  </w:style>
  <w:style w:type="character" w:customStyle="1" w:styleId="12">
    <w:name w:val="脚注文本 Char"/>
    <w:basedOn w:val="7"/>
    <w:link w:val="5"/>
    <w:autoRedefine/>
    <w:semiHidden/>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8</Words>
  <Characters>11</Characters>
  <Lines>15</Lines>
  <Paragraphs>4</Paragraphs>
  <TotalTime>8</TotalTime>
  <ScaleCrop>false</ScaleCrop>
  <LinksUpToDate>false</LinksUpToDate>
  <CharactersWithSpaces>12</CharactersWithSpaces>
  <Application>WPS Office_12.1.0.17147_F1E327BC-269C-435d-A152-05C5408002CA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2023-06-24T09:20:00Z</dcterms:created>
  <dc:creator>abc</dc:creator>
  <cp:lastModifiedBy>[明月清风]万里浪</cp:lastModifiedBy>
  <dcterms:modified xsi:type="dcterms:W3CDTF">2024-07-15T14:15:05Z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2052-12.1.0.17147</vt:lpwstr>
  </property>
  <property fmtid="{D5CDD505-2E9C-101B-9397-08002B2CF9AE}" pid="3" name="ICV">
    <vt:lpwstr>AD5B874596054C26A78632E84425D540_13</vt:lpwstr>
  </property>
</Properties>
</file>