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与周恩来的谈话</w:t>
      </w:r>
      <w:bookmarkEnd w:id="0"/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（1952年6月13日）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何必那么小气！再大方一点，划成完全守法户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仿宋" w:hAnsi="仿宋" w:eastAsia="仿宋"/>
          <w:sz w:val="32"/>
          <w:szCs w:val="32"/>
        </w:rPr>
        <w:t xml:space="preserve">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【需核】本谈话的完整上下文（毛泽东是在什么场合、就哪家工商户的分类问题说这番话的）需要核查。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【需核】本谈话的完整上下文（毛泽东是在什么场合、就哪家工商户的分类问题说这番话的）需要核查。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2096页记载内容编辑而成。标题为编者所加。6月13日，政务院发出了关于结束“五反”运动几个问题的指示。指示要求说：“对于工商户处理的原则是：斗争从严，处理从宽；应当严者严之，应当宽者宽之。为了更好地结束这一运动，达到消灭‘五毒’、改造工商业者和在消灭‘五毒’之后顺利发展生产，必须反对两种倾向：一种是虎头蛇尾，草率结束；一种是不肯将计算较高的工商户违法所得的数目合理地降下来，即不愿意根据实际违法情况，认真核实，正确定案。”荣毅仁是上海最大的民族工商户，在“五反”中也发现了一些问题。根据党对民族资产阶级又团结又斗争的政策，受中央委派到上海领导“五反”运动的薄一波和上海市长陈毅认为，把他定为基本守法户好。他们将此意见报告给了周恩来总理，周恩来又转报给毛主席。毛主席说：“何必那么小气！再大方一点，划成完全守法户。”荣毅仁这个“标兵”一树，在上海和全国各大城市都产生了积极影响，安定了人心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完全守法户，“五反”运动中对私营工商户的五级分类中的第一类，指没有违法行为、完全遵守国家法令的工商户。五级分类依次为：守法户、基本守法户、半守法半违法户、严重违法户、完全违法户。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157598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2024-07-13T12:56:26Z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0D90AB666CAA44ABBB64D4BFE7743E2C_13</vt:lpwstr>
  </property>
</Properties>
</file>