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38D92F">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eastAsia" w:ascii="仿宋" w:hAnsi="仿宋" w:eastAsia="仿宋" w:cs="仿宋"/>
          <w:sz w:val="36"/>
          <w:szCs w:val="36"/>
          <w:lang w:val="en-US" w:eastAsia="zh-CN"/>
        </w:rPr>
      </w:pPr>
      <w:bookmarkStart w:id="0" w:name="_GoBack"/>
      <w:r>
        <w:rPr>
          <w:rFonts w:hint="eastAsia" w:ascii="黑体" w:hAnsi="黑体" w:eastAsia="黑体" w:cs="黑体"/>
          <w:sz w:val="44"/>
          <w:szCs w:val="44"/>
          <w:vertAlign w:val="baseline"/>
          <w:lang w:val="en-US" w:eastAsia="zh-CN"/>
        </w:rPr>
        <w:t>中共中央关于争取胜利结束“三反”运动</w:t>
      </w:r>
      <w:r>
        <w:rPr>
          <w:rStyle w:val="FootnoteReference"/>
        </w:rPr>
        <w:footnoteReference w:id="4"/>
      </w:r>
      <w:r>
        <w:rPr/>
        <w:t xml:space="preserve">中的若干问题的指示</w:t>
      </w:r>
      <w:bookmarkEnd w:id="0"/>
      <w:r>
        <w:rPr>
          <w:rFonts w:hint="eastAsia" w:ascii="仿宋" w:hAnsi="仿宋" w:eastAsia="仿宋" w:cs="仿宋"/>
          <w:sz w:val="36"/>
          <w:szCs w:val="36"/>
          <w:vertAlign w:val="superscript"/>
          <w:lang w:val="en-US" w:eastAsia="zh-CN"/>
        </w:rPr>
        <w:t>[</w:t>
      </w:r>
      <w:r>
        <w:rPr>
          <w:rFonts w:hint="eastAsia" w:ascii="仿宋" w:hAnsi="仿宋" w:eastAsia="仿宋" w:cs="仿宋"/>
          <w:sz w:val="36"/>
          <w:szCs w:val="36"/>
          <w:vertAlign w:val="superscript"/>
          <w:lang w:val="en-US" w:eastAsia="zh-CN"/>
        </w:rPr>
        <w:footnoteReference w:id="0"/>
      </w:r>
      <w:r>
        <w:rPr>
          <w:rFonts w:hint="eastAsia" w:ascii="仿宋" w:hAnsi="仿宋" w:eastAsia="仿宋" w:cs="仿宋"/>
          <w:sz w:val="36"/>
          <w:szCs w:val="36"/>
          <w:vertAlign w:val="superscript"/>
          <w:lang w:val="en-US" w:eastAsia="zh-CN"/>
        </w:rPr>
        <w:t>]</w:t>
      </w:r>
    </w:p>
    <w:p w14:paraId="65E22F96">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default" w:ascii="楷体" w:hAnsi="楷体" w:eastAsia="楷体"/>
          <w:sz w:val="36"/>
          <w:szCs w:val="36"/>
          <w:lang w:val="en-US" w:eastAsia="zh-CN"/>
        </w:rPr>
      </w:pPr>
      <w:r>
        <w:rPr>
          <w:rFonts w:hint="eastAsia" w:ascii="楷体" w:hAnsi="楷体" w:eastAsia="楷体"/>
          <w:sz w:val="36"/>
          <w:szCs w:val="36"/>
          <w:lang w:val="en-US" w:eastAsia="zh-CN"/>
        </w:rPr>
        <w:t>（1952年6月15日）</w:t>
      </w:r>
    </w:p>
    <w:p w14:paraId="42859747">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从去年12月开始的伟大的“三反”运动，到5月底为止，就全国一般情况，发动群众和“打虎”</w:t>
      </w:r>
      <w:r>
        <w:rPr>
          <w:rStyle w:val="FootnoteReference"/>
        </w:rPr>
        <w:footnoteReference w:id="5"/>
      </w:r>
      <w:r>
        <w:rPr/>
        <w:t xml:space="preserve">的阶段均已胜利结束，处理阶段也已经或快要结束，建设阶段已经或即将开始。为了胜利结束“三反”运动，反对虎头蛇尾，草率收兵，中央对于“三反”运动处理阶段和建设阶段中的若干问题，特作如下的规定：</w:t>
      </w:r>
    </w:p>
    <w:p w14:paraId="576C30BB">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第一，结束“三反”运动的两项重要工作。</w:t>
      </w:r>
    </w:p>
    <w:p w14:paraId="3C44191E">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为了完满地结束“三反”运动，首先必须作好正确定案和适当处理的工作。处理的原则是：“斗争从严、处理从宽，应当严者严之，应当宽者宽之。”其次是切实作好建设阶段的各项工作。建设阶段的要求，在于系统地批判资产阶级的思想，划清资产阶级与工人阶级的思想界限，改进“三反”运动中所发现的工作中的各种缺点，以便从思想上、组织上、制度上巩固“三反”运动的成果。</w:t>
      </w:r>
    </w:p>
    <w:p w14:paraId="6B60EA2D">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第二，关于处理阶段工作中的若干问题的规定。</w:t>
      </w:r>
    </w:p>
    <w:p w14:paraId="31816E46">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一、定案工作应采取实事求是、不怕麻烦、坚持到底、不枉不纵的方针。“是者定之，错者改之，应降者降之，应升者升之”，必须作到如实合理地解决问题。有些地方听任“老虎”翻供，不问真假，放纵真虎归山，这是极端错误的。也有些地方只要贪污分子不翻供，所供情节又大体合理，在不予判刑的条件下，专凭口供定案，这同样是不对的。定案工作的中心环节在于认真调查和全面分析材料，必须在人证、物证和贪污情节等方面，找出可以定案的根据，有全部证据者定全部，有部分证据者定一部分，无证据或证据不足的案件一般应实行全部或部分具结了案的办法，以后如发现有不实者再从重处分，现在就有确实证据而翻供或拒不坦白者应从重处理。总之，对于各项案件除案情十分重大或情节复杂一时不易结案者，应留作专案务须继续研究弄清外，一般案件均应尽可能在6月内弄清实情，力求定案，并处理完毕。在处理阶段结束以后，如未了案件过多，是不利于工作的。至于某些案件国家损失甚大，而本人确无贪污证据者，应以渎职论，得分别情节，给予不同的行政或刑事处分。</w:t>
      </w:r>
    </w:p>
    <w:p w14:paraId="7FDC730C">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定案时，必须严格遵守中央关于计算贪污时间和对赃款赃物一般不折算现价的规定。此外，还应照顾到一些特殊情形：对于那些一贯表现尚好的老干部，虽贪污在一百万元以上，只要贪污情节不严重，坦白彻底，真诚悔过，可不以贪污分子论；对于那些有专门技术，政治上又靠拢我们，虽贪污数字较大，只要其贪污情节不严重恶劣，而又坦白彻底，真诚悔过者，亦可不以贪污分子论。</w:t>
      </w:r>
    </w:p>
    <w:p w14:paraId="5DA28882">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二、赃款赃物原则上应予追缴，但又必须根据贪污分子不同情况，分别处理，尤其不得穷追乱追。追赃虽与定案有直接联系，但一般地应先定案，后追赃。定案以后首先要查赃，应从各方面调查分析，判断赃款赃物的来龙去脉及现有数量，进行追赃。对真诚悔过，积极退赃者，从轻处理，对有赃不交，狡赖顽抗者，应予严办。追赃时，应明确交代政策，力求作到贪污分子自觉退赃，并须作好家属工作，使其协助退赃，但绝不许可把贪污分子家属当作贪污分子对待。凡确实追不出者，应主动免追。如赃款赃物在农村者，不得直接派人到农村追赃。为了及时结案，凡赃情已经查明，赃款一时不能起出者，可由机关人民法庭</w:t>
      </w:r>
      <w:r>
        <w:rPr>
          <w:rStyle w:val="FootnoteReference"/>
        </w:rPr>
        <w:footnoteReference w:id="7"/>
      </w:r>
      <w:r>
        <w:rPr/>
        <w:t xml:space="preserve">转地方人民法院办理。凡各地追赃已达原计算贪污款物总数百分之四十左右时，即应根据具体情况，适可而止。机关内贪污分子打欠条、订长期退赃计划等办法，害多利少，一般不宜采用。</w:t>
      </w:r>
    </w:p>
    <w:p w14:paraId="4D53E709">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三、为了定案追赃，经过市节约检查委员会</w:t>
      </w:r>
      <w:r>
        <w:rPr>
          <w:rStyle w:val="FootnoteReference"/>
        </w:rPr>
        <w:footnoteReference w:id="8"/>
      </w:r>
      <w:r>
        <w:rPr/>
        <w:t xml:space="preserve">有领导地传讯有关工商户，对于甄别定案有极大作用。对于传讯处理方针，应依照1952年5月20日中央关于争取“五反”</w:t>
      </w:r>
      <w:r>
        <w:rPr>
          <w:rStyle w:val="FootnoteReference"/>
        </w:rPr>
        <w:footnoteReference w:id="6"/>
      </w:r>
      <w:r>
        <w:rPr/>
        <w:t xml:space="preserve">斗争胜利结束中的几个问题的指示中的规定办理。传讯工作切不可无计划地零乱地进行，必须抽调对“三反”、“五反”有经验的干部，首先把所有与传讯有关的材料，加以研究整理，拟定传讯计划，然后在市节约检查委员会统一领导下进行。对于守法户、基本守法户和半守法半违法户，如不传讯即无法对贪污分子定案追赃时，可以传讯，但须适可而止；对于严重违法户和完全违法户，则须抓紧传讯，但须防止追逼。在“五反”中已作结论的工商户，如传讯对证时，态度老实，虽承认了原来未承认的“五毒”行为，亦可不变其原来的结论。各地传讯的时间，一般以10天左右为宜，绝不许可拖得太久，否则对工商界波动太大，对生产不利。</w:t>
      </w:r>
    </w:p>
    <w:p w14:paraId="4DC7CC67">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四、处分及量刑必须遵守“少数从严、多数从宽”的原则。有些地方在处分及量刑时，一般偏高。其具体表现为：在行政处分中，多用“开除”；在刑事处分中，多用“徒刑”和“劳役改造”，而不愿判“机关管制”，以及企图过多地判处无期徒刑及死刑的倾向。为了克服这种偏向，在行政处分中，应尽量少用开除办法，在刑事处分中，应严格遵守中央所规定的判刑比例及批准手续。为了避免处分（包括党内处分）和量刑上先重后轻，畸轻畸重的现象，应实行对一个地区或一个大单位的贪污分子和犯其他错误人员的排队的办法，实行大体上的比较，统一处分和量刑的具体标准。但在“三反”运动初期已经处理的人员，如果对其处理没有原则错误，则不必改变。在审判时，应认真作好人民法庭的工作，吸收非党人士参加领导，如此，既能对非党人士有所教育，同时也可以取得他们的监督，杜绝某些单位的草草了事现象，使我们的审判处理工作作得更好。</w:t>
      </w:r>
    </w:p>
    <w:p w14:paraId="0AF93DB4">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第三，建设阶段应注意的几个问题。</w:t>
      </w:r>
    </w:p>
    <w:p w14:paraId="694D0363">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三反”运动必须经过建设阶段，才能完满结束。“三反”建设阶段的工作，实际上是对于“三反”运动的总结，这是巩固“三反”成果、提高国家工作人员的觉悟程度和工作效率的重要关键。只许作好，不得潦草从事。建设阶段一般应解决下述几个问题：即交代与资产阶级的关系，批判资产阶级的思想，适当地结合整党，系统地进行组织建设和制度建设：</w:t>
      </w:r>
    </w:p>
    <w:p w14:paraId="410CAF00">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一、关于交代与资产阶级的关系。交代与资产阶级关系的工作，各地在国家工作人员中，除依中央在1952年4月5日的指示可以不进行交代的人士外，一般均应利用“三反”运动的群众声势，认真进行。在交代关系中所发现的各种问题，应分别地作如下的处理：</w:t>
      </w:r>
    </w:p>
    <w:p w14:paraId="3D514D90">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1、确属坐探者，应根据情节，从严惩治，最严重者判处无期徒刑直至死刑。但偶尔泄露经济机密者，不以坐探论处，对其错误行为，一般只予批评，情节严重者，应受适当的行政处分。偶尔出卖经济情报者，亦不以坐探论处，应视其情节按贪污罪从重处理。至于带有反革命性的“双皮坐探”</w:t>
      </w:r>
      <w:r>
        <w:rPr>
          <w:rStyle w:val="FootnoteReference"/>
        </w:rPr>
        <w:footnoteReference w:id="9"/>
      </w:r>
      <w:r>
        <w:rPr/>
        <w:t>，则按惩治反革命条例</w:t>
      </w:r>
      <w:r>
        <w:rPr>
          <w:rStyle w:val="FootnoteReference"/>
        </w:rPr>
        <w:footnoteReference w:id="10"/>
      </w:r>
      <w:r>
        <w:rPr/>
        <w:t xml:space="preserve">办理。</w:t>
      </w:r>
    </w:p>
    <w:p w14:paraId="23E107B7">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2、交代反革命案件者，由公安部门处理。</w:t>
      </w:r>
    </w:p>
    <w:p w14:paraId="6D1096DD">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3、交代本人是资本家者，只予登记，暂不处理。区别并处理国家工作人员中的资产阶级代表人物与一般资本家的问题，中央将另作规定。</w:t>
      </w:r>
    </w:p>
    <w:p w14:paraId="78823CB3">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4、交代出一般政治问题或亲戚朋友是反动阶级分子或资本家者，只予登记，不需处理。</w:t>
      </w:r>
    </w:p>
    <w:p w14:paraId="738C2CA2">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5、交代家庭是反动阶级成分或资本家者，只要站稳立场，思想上与家庭划清界限，不必断绝与家庭的关系。</w:t>
      </w:r>
    </w:p>
    <w:p w14:paraId="7C3DA8E9">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6、在交代关系中如发现本人的政治立场十分不稳者，应不得担任或调入国家首脑部门和机要部门的工作。</w:t>
      </w:r>
    </w:p>
    <w:p w14:paraId="016352FA">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二、关于批判资产阶级的思想。批判资产阶级思想的目的，在于划清工人阶级和资产阶级的思想界限，阐明工人阶级思想在国家中的领导作用并正确认识中国民族资产阶级在新民主主义革命和建设中的地位与作用，克服在中国资产阶级问题上的一切不正确观点。这种批判资产阶级思想的工作，应密切与各部门的业务相结合，针对资产阶级思想在各部门的具体的特殊的表现，引导群众进行细致地深刻地批判，并在批判之后，树立起新的观点和业务方针。在批判资产阶级思想的同时，应对于因“三反”而来的暂时的消极情绪及其他错误思想，及时加以教育，如：某些人怕负责任，不敢领导，不愿作财经工作和总务工作，不愿再和资本家来往，如非来往不可时，则宁“左”勿右，以及借口所谓“打虎精神”发展强迫命令的作风，对犯小错误受轻微处分仍留机关工作的人员，采取冷淡歧视的态度和有些“打虎”积极分子以“功臣”自居，闹地位、闹待遇等等，所有这些消极情绪和错误思想，都必须在“三反”运动建设阶段中，加以克服。</w:t>
      </w:r>
    </w:p>
    <w:p w14:paraId="493B83E8">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三、关于如何与整党相结合。“三反”运动本身对共产党来说，就是一次很深刻的整党运动。党员干部特别是居于领导地位的党员干部，在群众运动的烈火中，已受到了一次严格的锻炼。“三反”以前已按党员标准的八项条件</w:t>
      </w:r>
      <w:r>
        <w:rPr>
          <w:rStyle w:val="FootnoteReference"/>
        </w:rPr>
        <w:footnoteReference w:id="13"/>
      </w:r>
      <w:r>
        <w:rPr/>
        <w:t xml:space="preserve">整党的单位，“三反”运动对于他们事实上是进一步的整党运动。“三反”以前未按党员标准的八项条件进行整党的地区，可以在“三反”建设阶段同时或在“三反”结束以后，划出一定时间，进行对于党员标准的八项条件的学习，其目的在于普遍提高党员的认识。所有民主补课</w:t>
      </w:r>
      <w:r>
        <w:rPr>
          <w:rStyle w:val="FootnoteReference"/>
        </w:rPr>
        <w:footnoteReference w:id="12"/>
      </w:r>
      <w:r>
        <w:rPr/>
        <w:t xml:space="preserve">，干部鉴定，犯错误党员的处理工作，均应在这一阶段内结合进行。</w:t>
      </w:r>
    </w:p>
    <w:p w14:paraId="687C73A2">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四、关于组织建设和制度建设。思想建设之外，必须有组织建设和制度建设。组织建设的中心内容是整编</w:t>
      </w:r>
      <w:r>
        <w:rPr>
          <w:rStyle w:val="FootnoteReference"/>
        </w:rPr>
        <w:footnoteReference w:id="11"/>
      </w:r>
      <w:r>
        <w:rPr/>
        <w:t xml:space="preserve">。整编的目的在于确立编制，精简机构，提高工作效率。制度建设的内容包括民主制度，新的财务制度，基本建设制度，人事制度，工作、生活、学习等制度及监察和检查制度。制度建设的中心是民主制度。民主制度的关键在于首先健全机关党内的民主生活，而党员代表大会和代表会议，则是最适当的组织形式，应定期召开，认真进行；其次则为机关内的民主生活的建立，而机关工作人员的代表会议和小组会议，以及每年一次的民主检讨制度，均应按期进行。</w:t>
      </w:r>
    </w:p>
    <w:p w14:paraId="1E622713">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本指示发至地委、师党委，望迅速下达，认真研究，切实执行。并望于7月上旬，对所属单位的“三反”运动，作出全面总结，层报中央。</w:t>
      </w:r>
    </w:p>
    <w:p w14:paraId="11A3E5C1">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jc w:val="right"/>
        <w:textAlignment w:val="auto"/>
        <w:rPr>
          <w:rFonts w:hint="eastAsia" w:ascii="仿宋" w:hAnsi="仿宋" w:eastAsia="仿宋"/>
          <w:sz w:val="32"/>
          <w:szCs w:val="32"/>
        </w:rPr>
      </w:pPr>
      <w:r>
        <w:rPr>
          <w:rFonts w:hint="eastAsia" w:ascii="仿宋" w:hAnsi="仿宋" w:eastAsia="仿宋"/>
          <w:sz w:val="32"/>
          <w:szCs w:val="32"/>
        </w:rPr>
        <w:t>1952年6月15日</w:t>
      </w:r>
    </w:p>
    <w:p>
      <w:r>
        <w:br/>
        <w:t>────────────────────────────────────────</w:t>
      </w:r>
    </w:p>
    <w:p>
      <w:r>
        <w:rPr>
          <w:b/>
        </w:rPr>
        <w:t>本篇待人工确认事项：</w:t>
      </w:r>
    </w:p>
    <w:p>
      <w:commentRangeStart w:id="0"/>
      <w:r>
        <w:t>1. 【需核】1952年5月20日中央关于争取“五反”斗争胜利结束中的几个问题的指示的具体内容需要核实。</w:t>
      </w:r>
      <w:commentRangeEnd w:id="0"/>
      <w:r>
        <w:rPr>
          <w:rStyle w:val="CommentReference"/>
        </w:rPr>
        <w:commentReference w:id="0"/>
      </w:r>
    </w:p>
    <w:p>
      <w:commentRangeStart w:id="1"/>
      <w:r>
        <w:t>2. 【需核】1952年4月5日中央关于可以不进行交代与国家工作人员关系问题的指示内容需要核查。</w:t>
      </w:r>
      <w:commentRangeEnd w:id="1"/>
      <w:r>
        <w:rPr>
          <w:rStyle w:val="CommentReference"/>
        </w:rPr>
        <w:commentReference w:id="1"/>
      </w:r>
    </w:p>
    <w:sectPr>
      <w:footerReference r:id="rId4" w:type="default"/>
      <w:footnotePr>
        <w:numFmt w:val="decimal"/>
      </w:footnotePr>
      <w:pgSz w:w="11906" w:h="16838"/>
      <w:pgMar w:top="1701" w:right="1701" w:bottom="1701" w:left="1701" w:header="851" w:footer="992" w:gutter="113"/>
      <w:pgNumType w:fmt="numberInDash"/>
      <w:cols w:space="425" w:num="1"/>
      <w:docGrid w:type="lines" w:linePitch="312" w:charSpace="0"/>
    </w:sectPr>
  </w:body>
</w:document>
</file>

<file path=word/comments.xml><?xml version="1.0" encoding="utf-8"?>
<w:comments xmlns:w="http://schemas.openxmlformats.org/wordprocessingml/2006/main">
  <w:comment w:id="0" w:author="LLM初注待核" w:date="2026-07-05T15:07:28Z">
    <w:p>
      <w:pPr>
        <w:pStyle w:val="CommentText"/>
      </w:pPr>
      <w:r>
        <w:t>【需核】1952年5月20日中央关于争取“五反”斗争胜利结束中的几个问题的指示的具体内容需要核实。</w:t>
      </w:r>
    </w:p>
  </w:comment>
  <w:comment w:id="1" w:author="LLM初注待核" w:date="2026-07-05T15:07:28Z">
    <w:p>
      <w:pPr>
        <w:pStyle w:val="CommentText"/>
      </w:pPr>
      <w:r>
        <w:t>【需核】1952年4月5日中央关于可以不进行交代与国家工作人员关系问题的指示内容需要核查。</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2000000000000000000"/>
    <w:charset w:val="86"/>
    <w:family w:val="auto"/>
    <w:pitch w:val="default"/>
    <w:sig w:usb0="00000000" w:usb1="00000000" w:usb2="00000000" w:usb3="00000000" w:csb0="00040000" w:csb1="00000000"/>
  </w:font>
  <w:font w:name="DejaVu Sans">
    <w:altName w:val="Segoe Print"/>
    <w:panose1 w:val="020B0603030804020204"/>
    <w:charset w:val="00"/>
    <w:family w:val="auto"/>
    <w:pitch w:val="default"/>
    <w:sig w:usb0="00000000" w:usb1="00000000" w:usb2="0A246029" w:usb3="0400200C" w:csb0="600001FF" w:csb1="DFFF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9354485"/>
      <w:docPartObj>
        <w:docPartGallery w:val="autotext"/>
      </w:docPartObj>
    </w:sdtPr>
    <w:sdtEndPr>
      <w:rPr>
        <w:rFonts w:ascii="仿宋" w:hAnsi="仿宋" w:eastAsia="仿宋"/>
        <w:sz w:val="30"/>
        <w:szCs w:val="30"/>
      </w:rPr>
    </w:sdtEndPr>
    <w:sdtContent>
      <w:p w14:paraId="77B07A0E">
        <w:pPr>
          <w:pStyle w:val="3"/>
          <w:jc w:val="center"/>
          <w:rPr>
            <w:rFonts w:ascii="仿宋" w:hAnsi="仿宋" w:eastAsia="仿宋"/>
            <w:sz w:val="30"/>
            <w:szCs w:val="30"/>
          </w:rPr>
        </w:pPr>
        <w:r>
          <w:rPr>
            <w:rFonts w:ascii="仿宋" w:hAnsi="仿宋" w:eastAsia="仿宋"/>
            <w:sz w:val="24"/>
            <w:szCs w:val="24"/>
          </w:rPr>
          <w:fldChar w:fldCharType="begin"/>
        </w:r>
        <w:r>
          <w:rPr>
            <w:rFonts w:ascii="仿宋" w:hAnsi="仿宋" w:eastAsia="仿宋"/>
            <w:sz w:val="24"/>
            <w:szCs w:val="24"/>
          </w:rPr>
          <w:instrText xml:space="preserve">PAGE   \* MERGEFORMAT</w:instrText>
        </w:r>
        <w:r>
          <w:rPr>
            <w:rFonts w:ascii="仿宋" w:hAnsi="仿宋" w:eastAsia="仿宋"/>
            <w:sz w:val="24"/>
            <w:szCs w:val="24"/>
          </w:rPr>
          <w:fldChar w:fldCharType="separate"/>
        </w:r>
        <w:r>
          <w:rPr>
            <w:rFonts w:ascii="仿宋" w:hAnsi="仿宋" w:eastAsia="仿宋"/>
            <w:sz w:val="24"/>
            <w:szCs w:val="24"/>
            <w:lang w:val="zh-CN"/>
          </w:rPr>
          <w:t>-</w:t>
        </w:r>
        <w:r>
          <w:rPr>
            <w:rFonts w:ascii="仿宋" w:hAnsi="仿宋" w:eastAsia="仿宋"/>
            <w:sz w:val="24"/>
            <w:szCs w:val="24"/>
          </w:rPr>
          <w:t xml:space="preserve"> 1 -</w:t>
        </w:r>
        <w:r>
          <w:rPr>
            <w:rFonts w:ascii="仿宋" w:hAnsi="仿宋" w:eastAsia="仿宋"/>
            <w:sz w:val="24"/>
            <w:szCs w:val="24"/>
          </w:rPr>
          <w:fldChar w:fldCharType="end"/>
        </w:r>
      </w:p>
    </w:sdtContent>
  </w:sdt>
  <w:p w14:paraId="01CE1A81">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343CA7AC">
      <w:pPr>
        <w:keepNext w:val="0"/>
        <w:keepLines w:val="0"/>
        <w:pageBreakBefore w:val="0"/>
        <w:widowControl/>
        <w:suppressLineNumbers w:val="0"/>
        <w:kinsoku/>
        <w:wordWrap/>
        <w:overflowPunct/>
        <w:topLinePunct w:val="0"/>
        <w:bidi w:val="0"/>
        <w:adjustRightInd/>
        <w:snapToGrid/>
        <w:spacing w:line="360" w:lineRule="exact"/>
        <w:jc w:val="both"/>
        <w:textAlignment w:val="auto"/>
        <w:rPr>
          <w:rFonts w:hint="default" w:asciiTheme="minorEastAsia" w:hAnsiTheme="minorEastAsia" w:eastAsiaTheme="minorEastAsia" w:cstheme="minorBidi"/>
          <w:kern w:val="2"/>
          <w:sz w:val="21"/>
          <w:szCs w:val="21"/>
          <w:lang w:val="en-US" w:eastAsia="zh-CN" w:bidi="ar-SA"/>
        </w:rPr>
      </w:pP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eastAsiaTheme="minorEastAsia" w:cstheme="minorBidi"/>
          <w:kern w:val="2"/>
          <w:sz w:val="21"/>
          <w:szCs w:val="21"/>
          <w:lang w:val="en-US" w:eastAsia="zh-CN" w:bidi="ar-SA"/>
        </w:rPr>
        <w:footnoteRef/>
      </w: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cstheme="minorBidi"/>
          <w:kern w:val="2"/>
          <w:sz w:val="21"/>
          <w:szCs w:val="21"/>
          <w:lang w:val="en-US" w:eastAsia="zh-CN" w:bidi="ar-SA"/>
        </w:rPr>
        <w:t>关于本文的真实性及时间还存在争议，《</w:t>
      </w:r>
      <w:r>
        <w:rPr>
          <w:rFonts w:hint="eastAsia" w:asciiTheme="minorEastAsia" w:hAnsiTheme="minorEastAsia" w:eastAsiaTheme="minorEastAsia" w:cstheme="minorBidi"/>
          <w:kern w:val="2"/>
          <w:sz w:val="21"/>
          <w:szCs w:val="21"/>
          <w:lang w:val="en-US" w:eastAsia="zh-CN" w:bidi="ar-SA"/>
        </w:rPr>
        <w:t>毛泽东年谱</w:t>
      </w:r>
      <w:r>
        <w:rPr>
          <w:rFonts w:hint="eastAsia" w:asciiTheme="minorEastAsia" w:hAnsiTheme="minorEastAsia" w:cstheme="minorBidi"/>
          <w:kern w:val="2"/>
          <w:sz w:val="21"/>
          <w:szCs w:val="21"/>
          <w:lang w:val="en-US" w:eastAsia="zh-CN" w:bidi="ar-SA"/>
        </w:rPr>
        <w:t>》中并未记载。</w:t>
      </w:r>
      <w:r>
        <w:rPr>
          <w:rFonts w:hint="eastAsia" w:asciiTheme="minorEastAsia" w:hAnsiTheme="minorEastAsia" w:eastAsiaTheme="minorEastAsia" w:cstheme="minorBidi"/>
          <w:kern w:val="2"/>
          <w:sz w:val="21"/>
          <w:szCs w:val="21"/>
          <w:lang w:val="en-US" w:eastAsia="zh-CN" w:bidi="ar-SA"/>
        </w:rPr>
        <w:t>本文是根据</w:t>
      </w:r>
      <w:r>
        <w:rPr>
          <w:rFonts w:hint="eastAsia" w:asciiTheme="minorEastAsia" w:hAnsiTheme="minorEastAsia" w:cstheme="minorBidi"/>
          <w:kern w:val="2"/>
          <w:sz w:val="21"/>
          <w:szCs w:val="21"/>
          <w:lang w:val="en-US" w:eastAsia="zh-CN" w:bidi="ar-SA"/>
        </w:rPr>
        <w:t>东方直心同志编著的《毛泽东大传》（2021年终极版）第六卷，第2099页记载内容编辑而成。标题为编者所加。</w:t>
      </w:r>
    </w:p>
  </w:footnote>
  <w:footnote w:id="4">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“三反”运动，指1951年底至1952年10月在中国党政机关、国营企业等单位开展的“反贪污、反浪费、反官僚主义”运动。</w:t>
      </w:r>
    </w:p>
  </w:footnote>
  <w:footnote w:id="5">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“打虎”，“三反”运动中的术语，指查处和打击贪污数额巨大的贪污分子（即“大老虎”）。</w:t>
      </w:r>
    </w:p>
  </w:footnote>
  <w:footnote w:id="6">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“五反”运动，指1952年上半年在资本主义工商业者中开展的“反行贿、反偷税漏税、反盗骗国家财产、反偷工减料、反盗窃国家经济情报”的运动。</w:t>
      </w:r>
    </w:p>
  </w:footnote>
  <w:footnote w:id="7">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指“三反”运动中在机关单位内临时设立的审判机构，负责审理贪污案件，作出行政和刑事处分决定。</w:t>
      </w:r>
    </w:p>
  </w:footnote>
  <w:footnote w:id="8">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节约检查委员会，“三反”运动期间设立的领导机构，中央设中央节约检查委员会（薄一波任主任），各地设地方节约检查委员会。</w:t>
      </w:r>
    </w:p>
  </w:footnote>
  <w:footnote w:id="9">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“双皮坐探”，指同时具有国民党特务或反革命组织背景、又受资本家指派打入国家经济部门刺探经济情报的人员。“双皮”指其兼具反革命和资产阶级双重身份。</w:t>
      </w:r>
    </w:p>
  </w:footnote>
  <w:footnote w:id="10">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即1951年2月21日中央人民政府公布的《中华人民共和国惩治反革命条例》，共21条，是镇压反革命运动中的基本法律依据。</w:t>
      </w:r>
    </w:p>
  </w:footnote>
  <w:footnote w:id="11">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整编，指精简机关机构、调整人员编制、提高工作效率的组织整顿工作。</w:t>
      </w:r>
    </w:p>
  </w:footnote>
  <w:footnote w:id="12">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民主补课，指在企业民主改革和思想改造运动中对尚未进行或尚未完成民主教育的人员补上民主教育的内容。</w:t>
      </w:r>
    </w:p>
  </w:footnote>
  <w:footnote w:id="13">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即党员八项标准，1951年3月第一次全国组织工作会议通过的《共产党员标准的八项条件》。</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NkN2YzNDgxMWE1MGUyZjc4ZWVmMWVhZDU2MGM3NDEifQ=="/>
  </w:docVars>
  <w:rsids>
    <w:rsidRoot w:val="002C393A"/>
    <w:rsid w:val="00012FE0"/>
    <w:rsid w:val="00066BF1"/>
    <w:rsid w:val="000B6F88"/>
    <w:rsid w:val="000F7120"/>
    <w:rsid w:val="00135E88"/>
    <w:rsid w:val="001701DA"/>
    <w:rsid w:val="00176B6F"/>
    <w:rsid w:val="001834B7"/>
    <w:rsid w:val="001A10C5"/>
    <w:rsid w:val="001A6532"/>
    <w:rsid w:val="00211F2A"/>
    <w:rsid w:val="002463B2"/>
    <w:rsid w:val="00250386"/>
    <w:rsid w:val="00264F13"/>
    <w:rsid w:val="002C393A"/>
    <w:rsid w:val="00316341"/>
    <w:rsid w:val="00317CEA"/>
    <w:rsid w:val="00320EEF"/>
    <w:rsid w:val="003409A2"/>
    <w:rsid w:val="00346801"/>
    <w:rsid w:val="003505B9"/>
    <w:rsid w:val="00362B6F"/>
    <w:rsid w:val="00362DE8"/>
    <w:rsid w:val="00364675"/>
    <w:rsid w:val="003A027A"/>
    <w:rsid w:val="003B1AD2"/>
    <w:rsid w:val="003B5E99"/>
    <w:rsid w:val="003C70D0"/>
    <w:rsid w:val="003E5A0B"/>
    <w:rsid w:val="004015D1"/>
    <w:rsid w:val="00412440"/>
    <w:rsid w:val="00452922"/>
    <w:rsid w:val="004672F0"/>
    <w:rsid w:val="004A479F"/>
    <w:rsid w:val="004B5C00"/>
    <w:rsid w:val="004F448F"/>
    <w:rsid w:val="00503431"/>
    <w:rsid w:val="005278F0"/>
    <w:rsid w:val="00543FAA"/>
    <w:rsid w:val="005A53B8"/>
    <w:rsid w:val="005B7F19"/>
    <w:rsid w:val="005E6256"/>
    <w:rsid w:val="005F3522"/>
    <w:rsid w:val="00625236"/>
    <w:rsid w:val="00625768"/>
    <w:rsid w:val="0063034D"/>
    <w:rsid w:val="00653324"/>
    <w:rsid w:val="00671359"/>
    <w:rsid w:val="0067371F"/>
    <w:rsid w:val="00674365"/>
    <w:rsid w:val="006E537B"/>
    <w:rsid w:val="007471A6"/>
    <w:rsid w:val="0075239A"/>
    <w:rsid w:val="00784C13"/>
    <w:rsid w:val="007967AC"/>
    <w:rsid w:val="007C7631"/>
    <w:rsid w:val="008408F9"/>
    <w:rsid w:val="00871DB2"/>
    <w:rsid w:val="008A1398"/>
    <w:rsid w:val="008B3EC6"/>
    <w:rsid w:val="008B7D32"/>
    <w:rsid w:val="008D57CE"/>
    <w:rsid w:val="008F63FC"/>
    <w:rsid w:val="0096682E"/>
    <w:rsid w:val="009D6E5B"/>
    <w:rsid w:val="009E4715"/>
    <w:rsid w:val="009E5C58"/>
    <w:rsid w:val="00A16FD8"/>
    <w:rsid w:val="00A27FC2"/>
    <w:rsid w:val="00A4066D"/>
    <w:rsid w:val="00A47714"/>
    <w:rsid w:val="00A8372E"/>
    <w:rsid w:val="00AA2F24"/>
    <w:rsid w:val="00AB559C"/>
    <w:rsid w:val="00AF539B"/>
    <w:rsid w:val="00B106B5"/>
    <w:rsid w:val="00B24C50"/>
    <w:rsid w:val="00B40CC0"/>
    <w:rsid w:val="00B40EEB"/>
    <w:rsid w:val="00B71DB6"/>
    <w:rsid w:val="00B775ED"/>
    <w:rsid w:val="00BD07EB"/>
    <w:rsid w:val="00BF34E6"/>
    <w:rsid w:val="00C13602"/>
    <w:rsid w:val="00C43673"/>
    <w:rsid w:val="00CB7B9C"/>
    <w:rsid w:val="00D030B5"/>
    <w:rsid w:val="00D57941"/>
    <w:rsid w:val="00D76E18"/>
    <w:rsid w:val="00D916BA"/>
    <w:rsid w:val="00E009F3"/>
    <w:rsid w:val="00E07725"/>
    <w:rsid w:val="00E550CA"/>
    <w:rsid w:val="00E7165B"/>
    <w:rsid w:val="00EC6B92"/>
    <w:rsid w:val="00ED0962"/>
    <w:rsid w:val="00EE0675"/>
    <w:rsid w:val="00EE1F7A"/>
    <w:rsid w:val="00EF231E"/>
    <w:rsid w:val="00F167B6"/>
    <w:rsid w:val="00F854A7"/>
    <w:rsid w:val="00FB0529"/>
    <w:rsid w:val="00FE453F"/>
    <w:rsid w:val="0F357343"/>
    <w:rsid w:val="1C8D58F4"/>
    <w:rsid w:val="25635848"/>
    <w:rsid w:val="26377E29"/>
    <w:rsid w:val="27E768A4"/>
    <w:rsid w:val="28A41EE5"/>
    <w:rsid w:val="2A655F84"/>
    <w:rsid w:val="2A992910"/>
    <w:rsid w:val="328F460B"/>
    <w:rsid w:val="3B0F3CF2"/>
    <w:rsid w:val="3BB450BD"/>
    <w:rsid w:val="44414E45"/>
    <w:rsid w:val="457008EB"/>
    <w:rsid w:val="47271474"/>
    <w:rsid w:val="49F03606"/>
    <w:rsid w:val="4CFD38B3"/>
    <w:rsid w:val="5C1A7A34"/>
    <w:rsid w:val="6A167D8E"/>
    <w:rsid w:val="6A6463E1"/>
    <w:rsid w:val="74347E4C"/>
    <w:rsid w:val="78277517"/>
    <w:rsid w:val="9D4B5CFF"/>
    <w:rsid w:val="A3A76BB1"/>
    <w:rsid w:val="BA7B23C6"/>
    <w:rsid w:val="FE7348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autoRedefine/>
    <w:semiHidden/>
    <w:unhideWhenUsed/>
    <w:qFormat/>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paragraph" w:styleId="2">
    <w:name w:val="Plain Text"/>
    <w:basedOn w:val="1"/>
    <w:link w:val="11"/>
    <w:autoRedefine/>
    <w:semiHidden/>
    <w:unhideWhenUsed/>
    <w:qFormat/>
    <w:uiPriority w:val="0"/>
    <w:rPr>
      <w:rFonts w:ascii="方正书宋_GBK" w:hAnsi="DejaVu Sans"/>
      <w:szCs w:val="24"/>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footnote text"/>
    <w:basedOn w:val="1"/>
    <w:link w:val="12"/>
    <w:autoRedefine/>
    <w:semiHidden/>
    <w:unhideWhenUsed/>
    <w:qFormat/>
    <w:uiPriority w:val="99"/>
    <w:pPr>
      <w:snapToGrid w:val="0"/>
      <w:jc w:val="left"/>
    </w:pPr>
    <w:rPr>
      <w:sz w:val="18"/>
      <w:szCs w:val="18"/>
    </w:rPr>
  </w:style>
  <w:style w:type="character" w:styleId="8">
    <w:name w:val="footnote reference"/>
    <w:basedOn w:val="7"/>
    <w:semiHidden/>
    <w:unhideWhenUsed/>
    <w:qFormat/>
    <w:uiPriority w:val="99"/>
    <w:rPr>
      <w:vertAlign w:val="superscript"/>
    </w:rPr>
  </w:style>
  <w:style w:type="character" w:customStyle="1" w:styleId="9">
    <w:name w:val="页眉 Char"/>
    <w:basedOn w:val="7"/>
    <w:link w:val="4"/>
    <w:autoRedefine/>
    <w:qFormat/>
    <w:uiPriority w:val="99"/>
    <w:rPr>
      <w:sz w:val="18"/>
      <w:szCs w:val="18"/>
    </w:rPr>
  </w:style>
  <w:style w:type="character" w:customStyle="1" w:styleId="10">
    <w:name w:val="页脚 Char"/>
    <w:basedOn w:val="7"/>
    <w:link w:val="3"/>
    <w:autoRedefine/>
    <w:qFormat/>
    <w:uiPriority w:val="99"/>
    <w:rPr>
      <w:sz w:val="18"/>
      <w:szCs w:val="18"/>
    </w:rPr>
  </w:style>
  <w:style w:type="character" w:customStyle="1" w:styleId="11">
    <w:name w:val="纯文本 Char"/>
    <w:basedOn w:val="7"/>
    <w:link w:val="2"/>
    <w:autoRedefine/>
    <w:semiHidden/>
    <w:qFormat/>
    <w:uiPriority w:val="0"/>
    <w:rPr>
      <w:rFonts w:ascii="方正书宋_GBK" w:hAnsi="DejaVu Sans"/>
      <w:szCs w:val="24"/>
    </w:rPr>
  </w:style>
  <w:style w:type="character" w:customStyle="1" w:styleId="12">
    <w:name w:val="脚注文本 Char"/>
    <w:basedOn w:val="7"/>
    <w:link w:val="5"/>
    <w:autoRedefine/>
    <w:semiHidden/>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7"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8</Pages>
  <Words>8</Words>
  <Characters>11</Characters>
  <Lines>15</Lines>
  <Paragraphs>4</Paragraphs>
  <TotalTime>8</TotalTime>
  <ScaleCrop>false</ScaleCrop>
  <LinksUpToDate>false</LinksUpToDate>
  <CharactersWithSpaces>12</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2023-06-24T09:20:00Z</dcterms:created>
  <dc:creator>abc</dc:creator>
  <cp:lastModifiedBy>[明月清风]万里浪</cp:lastModifiedBy>
  <dcterms:modified xsi:type="dcterms:W3CDTF">2024-07-13T13:00:23Z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A914715DD69C48D68BE72CAF01A03172_13</vt:lpwstr>
  </property>
</Properties>
</file>