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63FCD" w14:textId="77777777" w:rsidR="003852B3" w:rsidRPr="003852B3" w:rsidRDefault="003852B3" w:rsidP="003852B3">
      <w:r w:rsidRPr="003852B3">
        <w:rPr>
          <w:b/>
          <w:bCs/>
          <w:sz w:val="28"/>
          <w:szCs w:val="28"/>
        </w:rPr>
        <w:t>Article 27</w:t>
      </w:r>
      <w:r w:rsidRPr="003852B3">
        <w:br/>
        <w:t>Patentable Subject Matter</w:t>
      </w:r>
    </w:p>
    <w:p w14:paraId="045A515A" w14:textId="27F387B6" w:rsidR="003852B3" w:rsidRPr="003852B3" w:rsidRDefault="003852B3" w:rsidP="003852B3">
      <w:bookmarkStart w:id="0" w:name="art27_1"/>
      <w:bookmarkStart w:id="1" w:name="art271"/>
      <w:bookmarkEnd w:id="0"/>
      <w:bookmarkEnd w:id="1"/>
      <w:r w:rsidRPr="003852B3">
        <w:t>1</w:t>
      </w:r>
      <w:r w:rsidR="00B05CC6" w:rsidRPr="003852B3">
        <w:t>. Subject</w:t>
      </w:r>
      <w:r w:rsidRPr="003852B3">
        <w:t xml:space="preserve"> to the provisions of paragraphs 2 and 3, patents shall be available for any inventions, whether products or processes, in all fields of technology, </w:t>
      </w:r>
      <w:r w:rsidR="00B05CC6" w:rsidRPr="003852B3">
        <w:t>if</w:t>
      </w:r>
      <w:r w:rsidRPr="003852B3">
        <w:t xml:space="preserve"> they are new, involve an inventive step and are capable of industrial application. </w:t>
      </w:r>
      <w:hyperlink r:id="rId4" w:anchor="fnt-5" w:history="1">
        <w:r w:rsidRPr="003852B3">
          <w:rPr>
            <w:rStyle w:val="Hyperlink"/>
            <w:vertAlign w:val="superscript"/>
          </w:rPr>
          <w:t>(5)</w:t>
        </w:r>
      </w:hyperlink>
      <w:r w:rsidRPr="003852B3">
        <w:t> Subject to paragraph 4 of Article 65, paragraph 8 of Article 70 and paragraph 3 of this Article, patents shall be available and patent rights enjoyable without discrimination as to the place of invention, the field of technology and whether products are imported or locally produced.</w:t>
      </w:r>
    </w:p>
    <w:p w14:paraId="17EF8DD0" w14:textId="7C5EEEDA" w:rsidR="003852B3" w:rsidRPr="003852B3" w:rsidRDefault="003852B3" w:rsidP="003852B3">
      <w:bookmarkStart w:id="2" w:name="art27_2"/>
      <w:bookmarkStart w:id="3" w:name="art272"/>
      <w:bookmarkEnd w:id="2"/>
      <w:bookmarkEnd w:id="3"/>
      <w:r w:rsidRPr="003852B3">
        <w:t>2.  Members may exclude from patentability inventions, the prevention within their territory of the commercial exploitation of which is necessary to protect </w:t>
      </w:r>
      <w:r w:rsidR="00B05CC6" w:rsidRPr="003852B3">
        <w:t>order</w:t>
      </w:r>
      <w:r w:rsidRPr="003852B3">
        <w:t> public or morality, including to protect human, animal or plant life or health or to avoid serious prejudice to the environment, provided that such exclusion is not made merely because the exploitation is prohibited by their law.</w:t>
      </w:r>
    </w:p>
    <w:p w14:paraId="5C202D2B" w14:textId="0D37DBB4" w:rsidR="003852B3" w:rsidRPr="003852B3" w:rsidRDefault="003852B3" w:rsidP="003852B3">
      <w:bookmarkStart w:id="4" w:name="art27_3"/>
      <w:bookmarkStart w:id="5" w:name="art273"/>
      <w:bookmarkEnd w:id="4"/>
      <w:bookmarkEnd w:id="5"/>
      <w:r w:rsidRPr="003852B3">
        <w:t>3</w:t>
      </w:r>
      <w:r w:rsidR="00B05CC6" w:rsidRPr="003852B3">
        <w:t>. Members</w:t>
      </w:r>
      <w:r w:rsidRPr="003852B3">
        <w:t xml:space="preserve"> may also exclude from patentability:</w:t>
      </w:r>
    </w:p>
    <w:p w14:paraId="5971A4D5" w14:textId="5F479E35" w:rsidR="003852B3" w:rsidRPr="003852B3" w:rsidRDefault="003852B3" w:rsidP="003852B3">
      <w:bookmarkStart w:id="6" w:name="art27_3_a"/>
      <w:bookmarkStart w:id="7" w:name="art273a"/>
      <w:bookmarkEnd w:id="6"/>
      <w:bookmarkEnd w:id="7"/>
      <w:r w:rsidRPr="003852B3">
        <w:t>(a</w:t>
      </w:r>
      <w:r w:rsidR="00B05CC6" w:rsidRPr="003852B3">
        <w:t>) diagnostic</w:t>
      </w:r>
      <w:r w:rsidRPr="003852B3">
        <w:t xml:space="preserve">, </w:t>
      </w:r>
      <w:proofErr w:type="gramStart"/>
      <w:r w:rsidRPr="003852B3">
        <w:t>therapeutic</w:t>
      </w:r>
      <w:proofErr w:type="gramEnd"/>
      <w:r w:rsidRPr="003852B3">
        <w:t xml:space="preserve"> and surgical methods for the treatment of humans or animals;</w:t>
      </w:r>
      <w:r w:rsidRPr="003852B3">
        <w:br/>
        <w:t> </w:t>
      </w:r>
    </w:p>
    <w:p w14:paraId="77CD73E4" w14:textId="6F34992B" w:rsidR="003852B3" w:rsidRPr="003852B3" w:rsidRDefault="003852B3" w:rsidP="003852B3">
      <w:bookmarkStart w:id="8" w:name="art27_3_b"/>
      <w:bookmarkStart w:id="9" w:name="art273b"/>
      <w:bookmarkEnd w:id="8"/>
      <w:bookmarkEnd w:id="9"/>
      <w:r w:rsidRPr="003852B3">
        <w:t>(b</w:t>
      </w:r>
      <w:r w:rsidR="00B05CC6" w:rsidRPr="003852B3">
        <w:t>) plants</w:t>
      </w:r>
      <w:r w:rsidRPr="003852B3">
        <w:t xml:space="preserve"> and animals other than micro-organisms, and </w:t>
      </w:r>
      <w:r w:rsidR="00B05CC6" w:rsidRPr="003852B3">
        <w:t>biological</w:t>
      </w:r>
      <w:r w:rsidRPr="003852B3">
        <w:t xml:space="preserve"> processes </w:t>
      </w:r>
      <w:r w:rsidR="00B05CC6" w:rsidRPr="003852B3">
        <w:t>to produce</w:t>
      </w:r>
      <w:r w:rsidRPr="003852B3">
        <w:t xml:space="preserve"> plants or animals other than non-biological and microbiological processes. However, Members shall provide for the protection of plant varieties either by patents or by an effective sui generis system or by any combination thereof. The provisions of this subparagraph shall be reviewed four years after the date of entry into force of the WTO Agreement.</w:t>
      </w:r>
    </w:p>
    <w:p w14:paraId="368F08FC" w14:textId="77777777" w:rsidR="00D55D84" w:rsidRDefault="00D55D84"/>
    <w:p w14:paraId="43FC8D23" w14:textId="77777777" w:rsidR="00B05CC6" w:rsidRPr="00B05CC6" w:rsidRDefault="00B05CC6" w:rsidP="00B05CC6">
      <w:pPr>
        <w:rPr>
          <w:b/>
          <w:bCs/>
          <w:sz w:val="28"/>
          <w:szCs w:val="28"/>
        </w:rPr>
      </w:pPr>
      <w:r w:rsidRPr="00B05CC6">
        <w:rPr>
          <w:b/>
          <w:bCs/>
          <w:sz w:val="28"/>
          <w:szCs w:val="28"/>
        </w:rPr>
        <w:t>Article 39</w:t>
      </w:r>
    </w:p>
    <w:p w14:paraId="4ABF47F6" w14:textId="1B921476" w:rsidR="00B05CC6" w:rsidRPr="00B05CC6" w:rsidRDefault="00B05CC6" w:rsidP="00B05CC6">
      <w:bookmarkStart w:id="10" w:name="art39_1"/>
      <w:bookmarkStart w:id="11" w:name="article39_1"/>
      <w:bookmarkEnd w:id="10"/>
      <w:bookmarkEnd w:id="11"/>
      <w:r w:rsidRPr="00B05CC6">
        <w:t>1. </w:t>
      </w:r>
      <w:r w:rsidRPr="00B05CC6">
        <w:t>While</w:t>
      </w:r>
      <w:r w:rsidRPr="00B05CC6">
        <w:t xml:space="preserve"> ensuring effective protection against unfair competition as provided in Article 10bis of the Paris Convention (1967), Members shall protect undisclosed information in accordance with paragraph 2 and data submitted to governments or governmental agencies in accordance with paragraph 3.</w:t>
      </w:r>
    </w:p>
    <w:p w14:paraId="273896D0" w14:textId="024AC963" w:rsidR="00B05CC6" w:rsidRPr="00B05CC6" w:rsidRDefault="00B05CC6" w:rsidP="00B05CC6">
      <w:bookmarkStart w:id="12" w:name="art39_2"/>
      <w:bookmarkStart w:id="13" w:name="article39_2"/>
      <w:bookmarkEnd w:id="12"/>
      <w:bookmarkEnd w:id="13"/>
      <w:r w:rsidRPr="00B05CC6">
        <w:t xml:space="preserve">2. Natural and legal </w:t>
      </w:r>
      <w:r w:rsidRPr="00B05CC6">
        <w:t>people</w:t>
      </w:r>
      <w:r w:rsidRPr="00B05CC6">
        <w:t xml:space="preserve"> shall have the possibility of preventing information lawfully within their control from being disclosed to, acquired by, or used by others without their consent in a manner contrary to honest commercial practices </w:t>
      </w:r>
      <w:hyperlink r:id="rId5" w:anchor="fnt-10" w:history="1">
        <w:r w:rsidRPr="00B05CC6">
          <w:rPr>
            <w:rStyle w:val="Hyperlink"/>
            <w:vertAlign w:val="superscript"/>
          </w:rPr>
          <w:t>(10)</w:t>
        </w:r>
      </w:hyperlink>
      <w:r w:rsidRPr="00B05CC6">
        <w:t> so long as such information:</w:t>
      </w:r>
    </w:p>
    <w:p w14:paraId="40FE795D" w14:textId="628FAADB" w:rsidR="00B05CC6" w:rsidRPr="00B05CC6" w:rsidRDefault="00B05CC6" w:rsidP="00B05CC6">
      <w:bookmarkStart w:id="14" w:name="art39_2_a"/>
      <w:bookmarkStart w:id="15" w:name="article39_2a"/>
      <w:bookmarkEnd w:id="14"/>
      <w:bookmarkEnd w:id="15"/>
      <w:r w:rsidRPr="00B05CC6">
        <w:lastRenderedPageBreak/>
        <w:t xml:space="preserve">(a) is secret in the sense that it is not, as a body or in the precise configuration and assembly of its components, </w:t>
      </w:r>
      <w:r w:rsidRPr="00B05CC6">
        <w:t>known</w:t>
      </w:r>
      <w:r w:rsidRPr="00B05CC6">
        <w:t xml:space="preserve"> among or readily accessible to </w:t>
      </w:r>
      <w:r w:rsidRPr="00B05CC6">
        <w:t>people</w:t>
      </w:r>
      <w:r w:rsidRPr="00B05CC6">
        <w:t xml:space="preserve"> within the circles that normally deal with the kind of information in question;</w:t>
      </w:r>
      <w:r w:rsidRPr="00B05CC6">
        <w:br/>
        <w:t> </w:t>
      </w:r>
    </w:p>
    <w:p w14:paraId="7D82A96B" w14:textId="77777777" w:rsidR="00B05CC6" w:rsidRPr="00B05CC6" w:rsidRDefault="00B05CC6" w:rsidP="00B05CC6">
      <w:bookmarkStart w:id="16" w:name="art39_2_b"/>
      <w:bookmarkStart w:id="17" w:name="article39_2b"/>
      <w:bookmarkEnd w:id="16"/>
      <w:bookmarkEnd w:id="17"/>
      <w:r w:rsidRPr="00B05CC6">
        <w:t>(b) has commercial value because it is secret; and</w:t>
      </w:r>
      <w:r w:rsidRPr="00B05CC6">
        <w:br/>
        <w:t> </w:t>
      </w:r>
    </w:p>
    <w:p w14:paraId="18AA5666" w14:textId="77777777" w:rsidR="00B05CC6" w:rsidRPr="00B05CC6" w:rsidRDefault="00B05CC6" w:rsidP="00B05CC6">
      <w:bookmarkStart w:id="18" w:name="art39_2_c"/>
      <w:bookmarkStart w:id="19" w:name="article39_2c"/>
      <w:bookmarkEnd w:id="18"/>
      <w:bookmarkEnd w:id="19"/>
      <w:r w:rsidRPr="00B05CC6">
        <w:t>(c) has been subject to reasonable steps under the circumstances, by the person lawfully in control of the information, to keep it secret.</w:t>
      </w:r>
    </w:p>
    <w:p w14:paraId="59C14984" w14:textId="31A06A89" w:rsidR="00B05CC6" w:rsidRPr="00B05CC6" w:rsidRDefault="00B05CC6" w:rsidP="00B05CC6">
      <w:bookmarkStart w:id="20" w:name="art39_3"/>
      <w:bookmarkStart w:id="21" w:name="article39_3"/>
      <w:bookmarkEnd w:id="20"/>
      <w:bookmarkEnd w:id="21"/>
      <w:r w:rsidRPr="00B05CC6">
        <w:t xml:space="preserve">3. Members, when requiring, as a condition of approving the marketing of pharmaceutical or of agricultural chemical products which utilize new chemical entities, the submission of undisclosed test or other data, the origination of which involves a considerable effort, shall protect such data against unfair commercial use. In addition, Members shall protect such data against disclosure, except where necessary to protect the public, or unless steps are taken to ensure that the data </w:t>
      </w:r>
      <w:r w:rsidRPr="00B05CC6">
        <w:t>is</w:t>
      </w:r>
      <w:r w:rsidRPr="00B05CC6">
        <w:t xml:space="preserve"> protected against unfair commercial use.</w:t>
      </w:r>
    </w:p>
    <w:p w14:paraId="2AECBB06" w14:textId="77777777" w:rsidR="003852B3" w:rsidRDefault="003852B3"/>
    <w:sectPr w:rsidR="00385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F61"/>
    <w:rsid w:val="003852B3"/>
    <w:rsid w:val="009E3F61"/>
    <w:rsid w:val="00A52CAA"/>
    <w:rsid w:val="00B05CC6"/>
    <w:rsid w:val="00D55D84"/>
    <w:rsid w:val="00E05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1BCB2"/>
  <w15:chartTrackingRefBased/>
  <w15:docId w15:val="{9D7F143A-624B-4A13-B41F-C519ADE38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F61"/>
    <w:pPr>
      <w:keepNext/>
      <w:keepLines/>
      <w:spacing w:before="40" w:after="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unhideWhenUsed/>
    <w:qFormat/>
    <w:rsid w:val="009E3F61"/>
    <w:pPr>
      <w:keepNext/>
      <w:keepLines/>
      <w:spacing w:before="40" w:after="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unhideWhenUsed/>
    <w:qFormat/>
    <w:rsid w:val="009E3F61"/>
    <w:pPr>
      <w:keepNext/>
      <w:keepLines/>
      <w:spacing w:after="0"/>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unhideWhenUsed/>
    <w:qFormat/>
    <w:rsid w:val="009E3F61"/>
    <w:pPr>
      <w:keepNext/>
      <w:keepLines/>
      <w:spacing w:after="0"/>
      <w:outlineLvl w:val="8"/>
    </w:pPr>
    <w:rPr>
      <w:rFonts w:eastAsiaTheme="majorEastAsia" w:cstheme="majorBidi"/>
      <w:color w:val="FFFFF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F61"/>
    <w:rPr>
      <w:rFonts w:eastAsiaTheme="majorEastAsia" w:cstheme="majorBidi"/>
      <w:i/>
      <w:iCs/>
      <w:color w:val="FFFFFF" w:themeColor="text1" w:themeTint="A6"/>
    </w:rPr>
  </w:style>
  <w:style w:type="character" w:customStyle="1" w:styleId="Heading7Char">
    <w:name w:val="Heading 7 Char"/>
    <w:basedOn w:val="DefaultParagraphFont"/>
    <w:link w:val="Heading7"/>
    <w:uiPriority w:val="9"/>
    <w:semiHidden/>
    <w:rsid w:val="009E3F61"/>
    <w:rPr>
      <w:rFonts w:eastAsiaTheme="majorEastAsia" w:cstheme="majorBidi"/>
      <w:color w:val="FFFFFF" w:themeColor="text1" w:themeTint="A6"/>
    </w:rPr>
  </w:style>
  <w:style w:type="character" w:customStyle="1" w:styleId="Heading8Char">
    <w:name w:val="Heading 8 Char"/>
    <w:basedOn w:val="DefaultParagraphFont"/>
    <w:link w:val="Heading8"/>
    <w:uiPriority w:val="9"/>
    <w:semiHidden/>
    <w:rsid w:val="009E3F61"/>
    <w:rPr>
      <w:rFonts w:eastAsiaTheme="majorEastAsia" w:cstheme="majorBidi"/>
      <w:i/>
      <w:iCs/>
      <w:color w:val="FFFFFF" w:themeColor="text1" w:themeTint="D8"/>
    </w:rPr>
  </w:style>
  <w:style w:type="character" w:customStyle="1" w:styleId="Heading9Char">
    <w:name w:val="Heading 9 Char"/>
    <w:basedOn w:val="DefaultParagraphFont"/>
    <w:link w:val="Heading9"/>
    <w:uiPriority w:val="9"/>
    <w:semiHidden/>
    <w:rsid w:val="009E3F61"/>
    <w:rPr>
      <w:rFonts w:eastAsiaTheme="majorEastAsia" w:cstheme="majorBidi"/>
      <w:color w:val="FFFFFF" w:themeColor="text1" w:themeTint="D8"/>
    </w:rPr>
  </w:style>
  <w:style w:type="paragraph" w:styleId="Title">
    <w:name w:val="Title"/>
    <w:basedOn w:val="Normal"/>
    <w:next w:val="Normal"/>
    <w:link w:val="TitleChar"/>
    <w:uiPriority w:val="10"/>
    <w:qFormat/>
    <w:rsid w:val="009E3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F61"/>
    <w:pPr>
      <w:numPr>
        <w:ilvl w:val="1"/>
      </w:numPr>
    </w:pPr>
    <w:rPr>
      <w:rFonts w:eastAsiaTheme="majorEastAsia" w:cstheme="majorBidi"/>
      <w:color w:val="FFFFFF" w:themeColor="text1" w:themeTint="A6"/>
      <w:spacing w:val="15"/>
      <w:sz w:val="28"/>
      <w:szCs w:val="28"/>
    </w:rPr>
  </w:style>
  <w:style w:type="character" w:customStyle="1" w:styleId="SubtitleChar">
    <w:name w:val="Subtitle Char"/>
    <w:basedOn w:val="DefaultParagraphFont"/>
    <w:link w:val="Subtitle"/>
    <w:uiPriority w:val="11"/>
    <w:rsid w:val="009E3F61"/>
    <w:rPr>
      <w:rFonts w:eastAsiaTheme="majorEastAsia" w:cstheme="majorBidi"/>
      <w:color w:val="FFFFFF" w:themeColor="text1" w:themeTint="A6"/>
      <w:spacing w:val="15"/>
      <w:sz w:val="28"/>
      <w:szCs w:val="28"/>
    </w:rPr>
  </w:style>
  <w:style w:type="paragraph" w:styleId="Quote">
    <w:name w:val="Quote"/>
    <w:basedOn w:val="Normal"/>
    <w:next w:val="Normal"/>
    <w:link w:val="QuoteChar"/>
    <w:uiPriority w:val="29"/>
    <w:qFormat/>
    <w:rsid w:val="009E3F61"/>
    <w:pPr>
      <w:spacing w:before="160"/>
      <w:jc w:val="center"/>
    </w:pPr>
    <w:rPr>
      <w:i/>
      <w:iCs/>
      <w:color w:val="FFFFFF" w:themeColor="text1" w:themeTint="BF"/>
    </w:rPr>
  </w:style>
  <w:style w:type="character" w:customStyle="1" w:styleId="QuoteChar">
    <w:name w:val="Quote Char"/>
    <w:basedOn w:val="DefaultParagraphFont"/>
    <w:link w:val="Quote"/>
    <w:uiPriority w:val="29"/>
    <w:rsid w:val="009E3F61"/>
    <w:rPr>
      <w:i/>
      <w:iCs/>
      <w:color w:val="FFFFFF" w:themeColor="text1" w:themeTint="BF"/>
    </w:rPr>
  </w:style>
  <w:style w:type="paragraph" w:styleId="ListParagraph">
    <w:name w:val="List Paragraph"/>
    <w:basedOn w:val="Normal"/>
    <w:uiPriority w:val="34"/>
    <w:qFormat/>
    <w:rsid w:val="009E3F61"/>
    <w:pPr>
      <w:ind w:left="720"/>
      <w:contextualSpacing/>
    </w:pPr>
  </w:style>
  <w:style w:type="character" w:styleId="IntenseEmphasis">
    <w:name w:val="Intense Emphasis"/>
    <w:basedOn w:val="DefaultParagraphFont"/>
    <w:uiPriority w:val="21"/>
    <w:qFormat/>
    <w:rsid w:val="009E3F61"/>
    <w:rPr>
      <w:i/>
      <w:iCs/>
      <w:color w:val="0F4761" w:themeColor="accent1" w:themeShade="BF"/>
    </w:rPr>
  </w:style>
  <w:style w:type="paragraph" w:styleId="IntenseQuote">
    <w:name w:val="Intense Quote"/>
    <w:basedOn w:val="Normal"/>
    <w:next w:val="Normal"/>
    <w:link w:val="IntenseQuoteChar"/>
    <w:uiPriority w:val="30"/>
    <w:qFormat/>
    <w:rsid w:val="009E3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F61"/>
    <w:rPr>
      <w:i/>
      <w:iCs/>
      <w:color w:val="0F4761" w:themeColor="accent1" w:themeShade="BF"/>
    </w:rPr>
  </w:style>
  <w:style w:type="character" w:styleId="IntenseReference">
    <w:name w:val="Intense Reference"/>
    <w:basedOn w:val="DefaultParagraphFont"/>
    <w:uiPriority w:val="32"/>
    <w:qFormat/>
    <w:rsid w:val="009E3F61"/>
    <w:rPr>
      <w:b/>
      <w:bCs/>
      <w:smallCaps/>
      <w:color w:val="0F4761" w:themeColor="accent1" w:themeShade="BF"/>
      <w:spacing w:val="5"/>
    </w:rPr>
  </w:style>
  <w:style w:type="character" w:styleId="Hyperlink">
    <w:name w:val="Hyperlink"/>
    <w:basedOn w:val="DefaultParagraphFont"/>
    <w:uiPriority w:val="99"/>
    <w:unhideWhenUsed/>
    <w:rsid w:val="003852B3"/>
    <w:rPr>
      <w:color w:val="467886" w:themeColor="hyperlink"/>
      <w:u w:val="single"/>
    </w:rPr>
  </w:style>
  <w:style w:type="character" w:styleId="UnresolvedMention">
    <w:name w:val="Unresolved Mention"/>
    <w:basedOn w:val="DefaultParagraphFont"/>
    <w:uiPriority w:val="99"/>
    <w:semiHidden/>
    <w:unhideWhenUsed/>
    <w:rsid w:val="003852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wto.org/english/docs_e/legal_e/31bis_trips_04d_e.htm" TargetMode="External"/><Relationship Id="rId4" Type="http://schemas.openxmlformats.org/officeDocument/2006/relationships/hyperlink" Target="https://www.wto.org/english/docs_e/legal_e/31bis_trips_04c_e.htm"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jangra</dc:creator>
  <cp:keywords/>
  <dc:description/>
  <cp:lastModifiedBy>Shivam jangra</cp:lastModifiedBy>
  <cp:revision>2</cp:revision>
  <dcterms:created xsi:type="dcterms:W3CDTF">2026-08-27T17:42:00Z</dcterms:created>
  <dcterms:modified xsi:type="dcterms:W3CDTF">2026-08-27T17:42:00Z</dcterms:modified>
</cp:coreProperties>
</file>