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DECD" w14:textId="77777777" w:rsidR="00CD6F17" w:rsidRPr="00CD6F17" w:rsidRDefault="00CD6F17" w:rsidP="00CD6F17">
      <w:pPr>
        <w:rPr>
          <w:b/>
          <w:bCs/>
          <w:sz w:val="28"/>
          <w:szCs w:val="28"/>
        </w:rPr>
      </w:pPr>
      <w:r w:rsidRPr="00CD6F17">
        <w:rPr>
          <w:b/>
          <w:bCs/>
          <w:sz w:val="28"/>
          <w:szCs w:val="28"/>
        </w:rPr>
        <w:t>Article 1. Objectives</w:t>
      </w:r>
    </w:p>
    <w:p w14:paraId="12D076E7" w14:textId="4A3C34A4" w:rsidR="00D55D84" w:rsidRDefault="00CD6F17" w:rsidP="00CD6F17">
      <w:r w:rsidRPr="00CD6F17">
        <w:br/>
        <w:t>The objectives of this Convention, to be pursued in accordance with its relevant provisions, are the conservation of biological diversity, the sustainable use of its components and the fair and equitable sharing of the benefits arising out of the utilization of genetic resources, including by appropriate access to genetic resources and by appropriate transfer of relevant technologies, taking into account all rights over those resources and to technologies, and by appropriate funding.</w:t>
      </w:r>
    </w:p>
    <w:p w14:paraId="58503C67" w14:textId="77777777" w:rsidR="00CD6F17" w:rsidRDefault="00CD6F17" w:rsidP="00CD6F17"/>
    <w:p w14:paraId="033EF7D6" w14:textId="77777777" w:rsidR="00CD6F17" w:rsidRPr="00CD6F17" w:rsidRDefault="00CD6F17" w:rsidP="00CD6F17">
      <w:pPr>
        <w:rPr>
          <w:b/>
          <w:bCs/>
          <w:sz w:val="28"/>
          <w:szCs w:val="28"/>
        </w:rPr>
      </w:pPr>
      <w:r w:rsidRPr="00CD6F17">
        <w:rPr>
          <w:b/>
          <w:bCs/>
          <w:sz w:val="28"/>
          <w:szCs w:val="28"/>
        </w:rPr>
        <w:t>Article 15. Access to Genetic Resources</w:t>
      </w:r>
    </w:p>
    <w:p w14:paraId="21B67402" w14:textId="77777777" w:rsidR="00CD6F17" w:rsidRPr="00CD6F17" w:rsidRDefault="00CD6F17" w:rsidP="00CD6F17">
      <w:r w:rsidRPr="00CD6F17">
        <w:br/>
        <w:t>1. Recognizing the sovereign rights of States over their natural resources, the authority to determine access to genetic resources rests with the national governments and is subject to national legislation.</w:t>
      </w:r>
    </w:p>
    <w:p w14:paraId="6F8D2B18" w14:textId="49921926" w:rsidR="00CD6F17" w:rsidRPr="00CD6F17" w:rsidRDefault="00CD6F17" w:rsidP="00CD6F17">
      <w:r w:rsidRPr="00CD6F17">
        <w:br/>
        <w:t xml:space="preserve">2. Each Contracting Party shall </w:t>
      </w:r>
      <w:r w:rsidRPr="00CD6F17">
        <w:t>endeavor</w:t>
      </w:r>
      <w:r w:rsidRPr="00CD6F17">
        <w:t xml:space="preserve"> to create conditions to facilitate access to genetic resources for environmentally sound uses by other Contracting Parties and not to impose restrictions that run counter to the objectives of this Convention.</w:t>
      </w:r>
    </w:p>
    <w:p w14:paraId="15BB3BAC" w14:textId="7F12C159" w:rsidR="00CD6F17" w:rsidRPr="00CD6F17" w:rsidRDefault="00CD6F17" w:rsidP="00CD6F17">
      <w:r w:rsidRPr="00CD6F17">
        <w:br/>
        <w:t xml:space="preserve">3. </w:t>
      </w:r>
      <w:r w:rsidRPr="00CD6F17">
        <w:t>For</w:t>
      </w:r>
      <w:r w:rsidRPr="00CD6F17">
        <w:t xml:space="preserve"> this Convention, the genetic resources being provided by a Contracting Party, as referred to in this Article and</w:t>
      </w:r>
    </w:p>
    <w:p w14:paraId="4AECE404" w14:textId="2DC476CF" w:rsidR="00CD6F17" w:rsidRPr="00CD6F17" w:rsidRDefault="00CD6F17" w:rsidP="00CD6F17">
      <w:r w:rsidRPr="00CD6F17">
        <w:br/>
        <w:t xml:space="preserve">Articles 16 and </w:t>
      </w:r>
      <w:r w:rsidRPr="00CD6F17">
        <w:t>19</w:t>
      </w:r>
      <w:r w:rsidRPr="00CD6F17">
        <w:t xml:space="preserve"> are only those that are provided by Contracting Parties that are countries of origin of such resources or by the Parties that have acquired the genetic resources in accordance with this Convention.</w:t>
      </w:r>
    </w:p>
    <w:p w14:paraId="7CF43F92" w14:textId="77777777" w:rsidR="00CD6F17" w:rsidRPr="00CD6F17" w:rsidRDefault="00CD6F17" w:rsidP="00CD6F17">
      <w:r w:rsidRPr="00CD6F17">
        <w:br/>
        <w:t>4. Access, where granted, shall be on mutually agreed terms and subject to the provisions of this Article.</w:t>
      </w:r>
    </w:p>
    <w:p w14:paraId="4137C73D" w14:textId="77777777" w:rsidR="00CD6F17" w:rsidRPr="00CD6F17" w:rsidRDefault="00CD6F17" w:rsidP="00CD6F17">
      <w:r w:rsidRPr="00CD6F17">
        <w:br/>
        <w:t>5. Access to genetic resources shall be subject to prior informed consent of the Contracting Party providing such resources, unless otherwise determined by that Party.</w:t>
      </w:r>
    </w:p>
    <w:p w14:paraId="13E34B1A" w14:textId="7B1FEFC1" w:rsidR="00CD6F17" w:rsidRPr="00CD6F17" w:rsidRDefault="00CD6F17" w:rsidP="00CD6F17">
      <w:r w:rsidRPr="00CD6F17">
        <w:br/>
        <w:t xml:space="preserve">6. Each Contracting Party shall </w:t>
      </w:r>
      <w:r w:rsidRPr="00CD6F17">
        <w:t>endeavor</w:t>
      </w:r>
      <w:r w:rsidRPr="00CD6F17">
        <w:t xml:space="preserve"> to develop and </w:t>
      </w:r>
      <w:r w:rsidRPr="00CD6F17">
        <w:t>conduct</w:t>
      </w:r>
      <w:r w:rsidRPr="00CD6F17">
        <w:t xml:space="preserve"> scientific research based </w:t>
      </w:r>
      <w:r w:rsidRPr="00CD6F17">
        <w:lastRenderedPageBreak/>
        <w:t>on genetic resources provided by other Contracting Parties with the full participation of, and where possible in, such Contracting Parties.</w:t>
      </w:r>
    </w:p>
    <w:p w14:paraId="0307A268" w14:textId="11C4D30E" w:rsidR="00CD6F17" w:rsidRDefault="00CD6F17" w:rsidP="00CD6F17">
      <w:r w:rsidRPr="00CD6F17">
        <w:br/>
        <w:t>7. Each Contracting Party shall take legislative, administrative or policy measures, as appropriate, and in accordance with Articles 16 and 19 and, where necessary, through the financial mechanism established by Articles 20 and 21 with the aim of sharing in a fair and equitable way the results of research and development and the benefits arising from the commercial and other utilization of genetic resources with the Contracting Party providing such resources. Such sharing shall be upon mutually agreed terms.</w:t>
      </w:r>
    </w:p>
    <w:sectPr w:rsidR="00CD6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F17"/>
    <w:rsid w:val="00A52CAA"/>
    <w:rsid w:val="00CD6F17"/>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52F7"/>
  <w15:chartTrackingRefBased/>
  <w15:docId w15:val="{871651BA-6C25-43A1-8B97-3C0274C8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F17"/>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CD6F17"/>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CD6F17"/>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CD6F17"/>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F17"/>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CD6F17"/>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CD6F17"/>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CD6F17"/>
    <w:rPr>
      <w:rFonts w:eastAsiaTheme="majorEastAsia" w:cstheme="majorBidi"/>
      <w:color w:val="FFFFFF" w:themeColor="text1" w:themeTint="D8"/>
    </w:rPr>
  </w:style>
  <w:style w:type="paragraph" w:styleId="Title">
    <w:name w:val="Title"/>
    <w:basedOn w:val="Normal"/>
    <w:next w:val="Normal"/>
    <w:link w:val="TitleChar"/>
    <w:uiPriority w:val="10"/>
    <w:qFormat/>
    <w:rsid w:val="00CD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F17"/>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CD6F17"/>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CD6F17"/>
    <w:pPr>
      <w:spacing w:before="160"/>
      <w:jc w:val="center"/>
    </w:pPr>
    <w:rPr>
      <w:i/>
      <w:iCs/>
      <w:color w:val="FFFFFF" w:themeColor="text1" w:themeTint="BF"/>
    </w:rPr>
  </w:style>
  <w:style w:type="character" w:customStyle="1" w:styleId="QuoteChar">
    <w:name w:val="Quote Char"/>
    <w:basedOn w:val="DefaultParagraphFont"/>
    <w:link w:val="Quote"/>
    <w:uiPriority w:val="29"/>
    <w:rsid w:val="00CD6F17"/>
    <w:rPr>
      <w:i/>
      <w:iCs/>
      <w:color w:val="FFFFFF" w:themeColor="text1" w:themeTint="BF"/>
    </w:rPr>
  </w:style>
  <w:style w:type="paragraph" w:styleId="ListParagraph">
    <w:name w:val="List Paragraph"/>
    <w:basedOn w:val="Normal"/>
    <w:uiPriority w:val="34"/>
    <w:qFormat/>
    <w:rsid w:val="00CD6F17"/>
    <w:pPr>
      <w:ind w:left="720"/>
      <w:contextualSpacing/>
    </w:pPr>
  </w:style>
  <w:style w:type="character" w:styleId="IntenseEmphasis">
    <w:name w:val="Intense Emphasis"/>
    <w:basedOn w:val="DefaultParagraphFont"/>
    <w:uiPriority w:val="21"/>
    <w:qFormat/>
    <w:rsid w:val="00CD6F17"/>
    <w:rPr>
      <w:i/>
      <w:iCs/>
      <w:color w:val="0F4761" w:themeColor="accent1" w:themeShade="BF"/>
    </w:rPr>
  </w:style>
  <w:style w:type="paragraph" w:styleId="IntenseQuote">
    <w:name w:val="Intense Quote"/>
    <w:basedOn w:val="Normal"/>
    <w:next w:val="Normal"/>
    <w:link w:val="IntenseQuoteChar"/>
    <w:uiPriority w:val="30"/>
    <w:qFormat/>
    <w:rsid w:val="00CD6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F17"/>
    <w:rPr>
      <w:i/>
      <w:iCs/>
      <w:color w:val="0F4761" w:themeColor="accent1" w:themeShade="BF"/>
    </w:rPr>
  </w:style>
  <w:style w:type="character" w:styleId="IntenseReference">
    <w:name w:val="Intense Reference"/>
    <w:basedOn w:val="DefaultParagraphFont"/>
    <w:uiPriority w:val="32"/>
    <w:qFormat/>
    <w:rsid w:val="00CD6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2026-08-27T17:43:00Z</dcterms:created>
  <dcterms:modified xsi:type="dcterms:W3CDTF">2026-08-27T17:55:00Z</dcterms:modified>
</cp:coreProperties>
</file>