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7C4BA" w14:textId="77777777" w:rsidR="00AB20AA" w:rsidRPr="00AB20AA" w:rsidRDefault="00AB20AA" w:rsidP="00AB20AA">
      <w:pPr>
        <w:rPr>
          <w:b/>
          <w:bCs/>
          <w:sz w:val="28"/>
          <w:szCs w:val="28"/>
        </w:rPr>
      </w:pPr>
      <w:r w:rsidRPr="00AB20AA">
        <w:rPr>
          <w:b/>
          <w:bCs/>
          <w:sz w:val="28"/>
          <w:szCs w:val="28"/>
        </w:rPr>
        <w:t>Article 5. Fair and Equitable Benefit-sharing</w:t>
      </w:r>
    </w:p>
    <w:p w14:paraId="0362DCA1" w14:textId="77777777" w:rsidR="00AB20AA" w:rsidRPr="00AB20AA" w:rsidRDefault="00AB20AA" w:rsidP="00AB20AA">
      <w:r w:rsidRPr="00AB20AA">
        <w:t>1. In accordance with Article 15, paragraphs 3 and 7 of the Convention, benefits arising from the utilization of genetic resources as well as subsequent applications and commercialization shall be shared in a fair and equitable way with the Party providing such resources that is the country of origin of such resources or a Party that has acquired the genetic resources in accordance with the Convention. Such sharing shall be upon mutually agreed terms.</w:t>
      </w:r>
    </w:p>
    <w:p w14:paraId="02B6C3CA" w14:textId="77777777" w:rsidR="00AB20AA" w:rsidRPr="00AB20AA" w:rsidRDefault="00AB20AA" w:rsidP="00AB20AA">
      <w:r w:rsidRPr="00AB20AA">
        <w:t>2. Each Party shall take legislative, administrative or policy measures, as appropriate, with the aim of ensuring that benefits arising from the utilization of genetic resources that are held by indigenous and local communities, in accordance with domestic legislation regarding the established rights of these indigenous and local communities over these genetic resources, are shared in a fair and equitable way with the communities concerned, based on mutually agreed terms.</w:t>
      </w:r>
    </w:p>
    <w:p w14:paraId="3881D1CF" w14:textId="77777777" w:rsidR="00AB20AA" w:rsidRPr="00AB20AA" w:rsidRDefault="00AB20AA" w:rsidP="00AB20AA">
      <w:r w:rsidRPr="00AB20AA">
        <w:t>3. To implement paragraph 1 above, each Party shall take legislative, administrative or policy measures, as appropriate.</w:t>
      </w:r>
    </w:p>
    <w:p w14:paraId="675AB93B" w14:textId="77777777" w:rsidR="00AB20AA" w:rsidRPr="00AB20AA" w:rsidRDefault="00AB20AA" w:rsidP="00AB20AA">
      <w:r w:rsidRPr="00AB20AA">
        <w:t>4. Benefits may include monetary and non-monetary benefits, including but not limited to those listed in the Annex.</w:t>
      </w:r>
    </w:p>
    <w:p w14:paraId="615B5AFD" w14:textId="1E8104C5" w:rsidR="00D55D84" w:rsidRDefault="00AB20AA" w:rsidP="00AB20AA">
      <w:r w:rsidRPr="00AB20AA">
        <w:t>5. Each Party shall take legislative, administrative or policy measures, as appropriate, in order that the benefits arising from the utilization of traditional knowledge associated with genetic resources are shared in a fair and equitable way with indigenous and local communities holding such knowledge. Such sharing shall be upon mutually agreed terms.</w:t>
      </w:r>
    </w:p>
    <w:p w14:paraId="1CA958E6" w14:textId="77777777" w:rsidR="00AB20AA" w:rsidRDefault="00AB20AA" w:rsidP="00AB20AA"/>
    <w:p w14:paraId="3517DD48" w14:textId="77777777" w:rsidR="00AB20AA" w:rsidRPr="00AB20AA" w:rsidRDefault="00AB20AA" w:rsidP="00AB20AA">
      <w:pPr>
        <w:rPr>
          <w:b/>
          <w:bCs/>
          <w:sz w:val="28"/>
          <w:szCs w:val="28"/>
        </w:rPr>
      </w:pPr>
      <w:r w:rsidRPr="00AB20AA">
        <w:rPr>
          <w:b/>
          <w:bCs/>
          <w:sz w:val="28"/>
          <w:szCs w:val="28"/>
        </w:rPr>
        <w:t>Article 6. Access to Genetic Resources</w:t>
      </w:r>
    </w:p>
    <w:p w14:paraId="6F90F16A" w14:textId="77777777" w:rsidR="00AB20AA" w:rsidRPr="00AB20AA" w:rsidRDefault="00AB20AA" w:rsidP="00AB20AA">
      <w:r w:rsidRPr="00AB20AA">
        <w:t>1. In the exercise of sovereign rights over natural resources, and subject to domestic access and benefit-sharing legislation or regulatory requirements, access to genetic resources for their utilization shall be subject to the prior informed consent of the Party providing such resources that is the country of origin of such resources or a Party that has acquired the genetic resources in accordance with the Convention, unless otherwise determined by that Party.</w:t>
      </w:r>
    </w:p>
    <w:p w14:paraId="268A5CAE" w14:textId="77777777" w:rsidR="00AB20AA" w:rsidRPr="00AB20AA" w:rsidRDefault="00AB20AA" w:rsidP="00AB20AA">
      <w:r w:rsidRPr="00AB20AA">
        <w:t>2. In accordance with domestic law, each Party shall take measures, as appropriate, with the aim of ensuring that the prior informed consent or approval and involvement of indigenous and local communities is obtained for access to genetic resources where they have the established right to grant access to such resources.</w:t>
      </w:r>
    </w:p>
    <w:p w14:paraId="25124BB7" w14:textId="77777777" w:rsidR="00AB20AA" w:rsidRPr="00AB20AA" w:rsidRDefault="00AB20AA" w:rsidP="00AB20AA">
      <w:r w:rsidRPr="00AB20AA">
        <w:lastRenderedPageBreak/>
        <w:t>3. Pursuant to paragraph 1 above, each Party requiring prior informed consent shall take the necessary legislative, administrative or policy measures, as appropriate, to:</w:t>
      </w:r>
    </w:p>
    <w:p w14:paraId="49EF706A" w14:textId="77777777" w:rsidR="00AB20AA" w:rsidRPr="00AB20AA" w:rsidRDefault="00AB20AA" w:rsidP="00AB20AA">
      <w:r w:rsidRPr="00AB20AA">
        <w:t>(a) Provide for legal certainty, clarity and transparency of their domestic access and benefit-sharing legislation or regulatory requirements;</w:t>
      </w:r>
    </w:p>
    <w:p w14:paraId="01B8708C" w14:textId="77777777" w:rsidR="00AB20AA" w:rsidRPr="00AB20AA" w:rsidRDefault="00AB20AA" w:rsidP="00AB20AA">
      <w:r w:rsidRPr="00AB20AA">
        <w:t>(b) Provide for fair and non-arbitrary rules and procedures on accessing genetic resources;</w:t>
      </w:r>
    </w:p>
    <w:p w14:paraId="1BC25CC4" w14:textId="77777777" w:rsidR="00AB20AA" w:rsidRPr="00AB20AA" w:rsidRDefault="00AB20AA" w:rsidP="00AB20AA">
      <w:r w:rsidRPr="00AB20AA">
        <w:t>(c) Provide information on how to apply for prior informed consent;</w:t>
      </w:r>
    </w:p>
    <w:p w14:paraId="0A6D7DA3" w14:textId="77777777" w:rsidR="00AB20AA" w:rsidRPr="00AB20AA" w:rsidRDefault="00AB20AA" w:rsidP="00AB20AA">
      <w:r w:rsidRPr="00AB20AA">
        <w:t xml:space="preserve">(d) Provide for a clear and transparent written decision by a competent national authority, in a cost-effective manner and within a reasonable </w:t>
      </w:r>
      <w:proofErr w:type="gramStart"/>
      <w:r w:rsidRPr="00AB20AA">
        <w:t>period of time</w:t>
      </w:r>
      <w:proofErr w:type="gramEnd"/>
      <w:r w:rsidRPr="00AB20AA">
        <w:t>;</w:t>
      </w:r>
    </w:p>
    <w:p w14:paraId="257983B3" w14:textId="77777777" w:rsidR="00AB20AA" w:rsidRPr="00AB20AA" w:rsidRDefault="00AB20AA" w:rsidP="00AB20AA">
      <w:r w:rsidRPr="00AB20AA">
        <w:t xml:space="preserve">(e) Provide for the issuance at the time of access </w:t>
      </w:r>
      <w:proofErr w:type="gramStart"/>
      <w:r w:rsidRPr="00AB20AA">
        <w:t>of</w:t>
      </w:r>
      <w:proofErr w:type="gramEnd"/>
      <w:r w:rsidRPr="00AB20AA">
        <w:t xml:space="preserve"> a permit or its equivalent as evidence of the decision to grant prior informed consent and of the establishment of mutually agreed terms, and notify the Access and Benefit-sharing Clearing-House accordingly;</w:t>
      </w:r>
    </w:p>
    <w:p w14:paraId="41BE2752" w14:textId="77777777" w:rsidR="00AB20AA" w:rsidRPr="00AB20AA" w:rsidRDefault="00AB20AA" w:rsidP="00AB20AA">
      <w:r w:rsidRPr="00AB20AA">
        <w:t>(f) Where applicable, and subject to domestic legislation, set out criteria and/or processes for obtaining prior informed consent or approval and involvement of indigenous and local communities for access to genetic resources; and</w:t>
      </w:r>
    </w:p>
    <w:p w14:paraId="36F73E98" w14:textId="77777777" w:rsidR="00AB20AA" w:rsidRPr="00AB20AA" w:rsidRDefault="00AB20AA" w:rsidP="00AB20AA">
      <w:r w:rsidRPr="00AB20AA">
        <w:t>(g) Establish clear rules and procedures for requiring and establishing mutually agreed terms. Such terms shall be set out in writing and may include, inter alia:</w:t>
      </w:r>
    </w:p>
    <w:p w14:paraId="462923D6" w14:textId="77777777" w:rsidR="00AB20AA" w:rsidRPr="00AB20AA" w:rsidRDefault="00AB20AA" w:rsidP="00AB20AA">
      <w:r w:rsidRPr="00AB20AA">
        <w:t>(</w:t>
      </w:r>
      <w:proofErr w:type="spellStart"/>
      <w:r w:rsidRPr="00AB20AA">
        <w:t>i</w:t>
      </w:r>
      <w:proofErr w:type="spellEnd"/>
      <w:r w:rsidRPr="00AB20AA">
        <w:t>) A dispute settlement clause;</w:t>
      </w:r>
    </w:p>
    <w:p w14:paraId="3350A1AF" w14:textId="77777777" w:rsidR="00AB20AA" w:rsidRPr="00AB20AA" w:rsidRDefault="00AB20AA" w:rsidP="00AB20AA">
      <w:r w:rsidRPr="00AB20AA">
        <w:t>(ii) Terms on benefit-sharing, including in relation to intellectual property rights;</w:t>
      </w:r>
    </w:p>
    <w:p w14:paraId="3757815A" w14:textId="77777777" w:rsidR="00AB20AA" w:rsidRPr="00AB20AA" w:rsidRDefault="00AB20AA" w:rsidP="00AB20AA">
      <w:r w:rsidRPr="00AB20AA">
        <w:t>(iii) Terms on subsequent third-party use, if any; and</w:t>
      </w:r>
    </w:p>
    <w:p w14:paraId="2D46BBA3" w14:textId="330A3E2D" w:rsidR="00AB20AA" w:rsidRDefault="00AB20AA" w:rsidP="00AB20AA">
      <w:r w:rsidRPr="00AB20AA">
        <w:t>(iv) Terms on changes of intent, where applicable.</w:t>
      </w:r>
    </w:p>
    <w:p w14:paraId="79CF4607" w14:textId="77777777" w:rsidR="00AB20AA" w:rsidRDefault="00AB20AA" w:rsidP="00AB20AA"/>
    <w:p w14:paraId="795A815E" w14:textId="77777777" w:rsidR="00AB20AA" w:rsidRPr="00AB20AA" w:rsidRDefault="00AB20AA" w:rsidP="00AB20AA">
      <w:pPr>
        <w:rPr>
          <w:b/>
          <w:bCs/>
          <w:sz w:val="28"/>
          <w:szCs w:val="28"/>
        </w:rPr>
      </w:pPr>
      <w:r w:rsidRPr="00AB20AA">
        <w:rPr>
          <w:b/>
          <w:bCs/>
          <w:sz w:val="28"/>
          <w:szCs w:val="28"/>
        </w:rPr>
        <w:t>Article 7. Access to Traditional Knowledge Associated with Genetic Resources</w:t>
      </w:r>
    </w:p>
    <w:p w14:paraId="691BC745" w14:textId="2021FBA2" w:rsidR="00AB20AA" w:rsidRDefault="00AB20AA" w:rsidP="00AB20AA">
      <w:r w:rsidRPr="00AB20AA">
        <w:t>In accordance with domestic law, each Party shall take measures, as appropriate, with the aim of ensuring that traditional knowledge associated with genetic resources that is held by indigenous and local communities is accessed with the prior and informed consent or approval and involvement of these indigenous and local communities, and that mutually agreed terms have been established.</w:t>
      </w:r>
    </w:p>
    <w:sectPr w:rsidR="00AB20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0AA"/>
    <w:rsid w:val="00A52CAA"/>
    <w:rsid w:val="00AB20AA"/>
    <w:rsid w:val="00D55D84"/>
    <w:rsid w:val="00E05F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8BA50"/>
  <w15:chartTrackingRefBased/>
  <w15:docId w15:val="{EA287CA7-7CC0-4F28-81C9-A3BCF671B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20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20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20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20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20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20AA"/>
    <w:pPr>
      <w:keepNext/>
      <w:keepLines/>
      <w:spacing w:before="40" w:after="0"/>
      <w:outlineLvl w:val="5"/>
    </w:pPr>
    <w:rPr>
      <w:rFonts w:eastAsiaTheme="majorEastAsia" w:cstheme="majorBidi"/>
      <w:i/>
      <w:iCs/>
      <w:color w:val="FFFFFF" w:themeColor="text1" w:themeTint="A6"/>
    </w:rPr>
  </w:style>
  <w:style w:type="paragraph" w:styleId="Heading7">
    <w:name w:val="heading 7"/>
    <w:basedOn w:val="Normal"/>
    <w:next w:val="Normal"/>
    <w:link w:val="Heading7Char"/>
    <w:uiPriority w:val="9"/>
    <w:semiHidden/>
    <w:unhideWhenUsed/>
    <w:qFormat/>
    <w:rsid w:val="00AB20AA"/>
    <w:pPr>
      <w:keepNext/>
      <w:keepLines/>
      <w:spacing w:before="40" w:after="0"/>
      <w:outlineLvl w:val="6"/>
    </w:pPr>
    <w:rPr>
      <w:rFonts w:eastAsiaTheme="majorEastAsia" w:cstheme="majorBidi"/>
      <w:color w:val="FFFFFF" w:themeColor="text1" w:themeTint="A6"/>
    </w:rPr>
  </w:style>
  <w:style w:type="paragraph" w:styleId="Heading8">
    <w:name w:val="heading 8"/>
    <w:basedOn w:val="Normal"/>
    <w:next w:val="Normal"/>
    <w:link w:val="Heading8Char"/>
    <w:uiPriority w:val="9"/>
    <w:semiHidden/>
    <w:unhideWhenUsed/>
    <w:qFormat/>
    <w:rsid w:val="00AB20AA"/>
    <w:pPr>
      <w:keepNext/>
      <w:keepLines/>
      <w:spacing w:after="0"/>
      <w:outlineLvl w:val="7"/>
    </w:pPr>
    <w:rPr>
      <w:rFonts w:eastAsiaTheme="majorEastAsia" w:cstheme="majorBidi"/>
      <w:i/>
      <w:iCs/>
      <w:color w:val="FFFFFF" w:themeColor="text1" w:themeTint="D8"/>
    </w:rPr>
  </w:style>
  <w:style w:type="paragraph" w:styleId="Heading9">
    <w:name w:val="heading 9"/>
    <w:basedOn w:val="Normal"/>
    <w:next w:val="Normal"/>
    <w:link w:val="Heading9Char"/>
    <w:uiPriority w:val="9"/>
    <w:semiHidden/>
    <w:unhideWhenUsed/>
    <w:qFormat/>
    <w:rsid w:val="00AB20AA"/>
    <w:pPr>
      <w:keepNext/>
      <w:keepLines/>
      <w:spacing w:after="0"/>
      <w:outlineLvl w:val="8"/>
    </w:pPr>
    <w:rPr>
      <w:rFonts w:eastAsiaTheme="majorEastAsia" w:cstheme="majorBidi"/>
      <w:color w:val="FFFFFF"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0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20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20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20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20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20AA"/>
    <w:rPr>
      <w:rFonts w:eastAsiaTheme="majorEastAsia" w:cstheme="majorBidi"/>
      <w:i/>
      <w:iCs/>
      <w:color w:val="FFFFFF" w:themeColor="text1" w:themeTint="A6"/>
    </w:rPr>
  </w:style>
  <w:style w:type="character" w:customStyle="1" w:styleId="Heading7Char">
    <w:name w:val="Heading 7 Char"/>
    <w:basedOn w:val="DefaultParagraphFont"/>
    <w:link w:val="Heading7"/>
    <w:uiPriority w:val="9"/>
    <w:semiHidden/>
    <w:rsid w:val="00AB20AA"/>
    <w:rPr>
      <w:rFonts w:eastAsiaTheme="majorEastAsia" w:cstheme="majorBidi"/>
      <w:color w:val="FFFFFF" w:themeColor="text1" w:themeTint="A6"/>
    </w:rPr>
  </w:style>
  <w:style w:type="character" w:customStyle="1" w:styleId="Heading8Char">
    <w:name w:val="Heading 8 Char"/>
    <w:basedOn w:val="DefaultParagraphFont"/>
    <w:link w:val="Heading8"/>
    <w:uiPriority w:val="9"/>
    <w:semiHidden/>
    <w:rsid w:val="00AB20AA"/>
    <w:rPr>
      <w:rFonts w:eastAsiaTheme="majorEastAsia" w:cstheme="majorBidi"/>
      <w:i/>
      <w:iCs/>
      <w:color w:val="FFFFFF" w:themeColor="text1" w:themeTint="D8"/>
    </w:rPr>
  </w:style>
  <w:style w:type="character" w:customStyle="1" w:styleId="Heading9Char">
    <w:name w:val="Heading 9 Char"/>
    <w:basedOn w:val="DefaultParagraphFont"/>
    <w:link w:val="Heading9"/>
    <w:uiPriority w:val="9"/>
    <w:semiHidden/>
    <w:rsid w:val="00AB20AA"/>
    <w:rPr>
      <w:rFonts w:eastAsiaTheme="majorEastAsia" w:cstheme="majorBidi"/>
      <w:color w:val="FFFFFF" w:themeColor="text1" w:themeTint="D8"/>
    </w:rPr>
  </w:style>
  <w:style w:type="paragraph" w:styleId="Title">
    <w:name w:val="Title"/>
    <w:basedOn w:val="Normal"/>
    <w:next w:val="Normal"/>
    <w:link w:val="TitleChar"/>
    <w:uiPriority w:val="10"/>
    <w:qFormat/>
    <w:rsid w:val="00AB2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0AA"/>
    <w:pPr>
      <w:numPr>
        <w:ilvl w:val="1"/>
      </w:numPr>
    </w:pPr>
    <w:rPr>
      <w:rFonts w:eastAsiaTheme="majorEastAsia" w:cstheme="majorBidi"/>
      <w:color w:val="FFFFFF" w:themeColor="text1" w:themeTint="A6"/>
      <w:spacing w:val="15"/>
      <w:sz w:val="28"/>
      <w:szCs w:val="28"/>
    </w:rPr>
  </w:style>
  <w:style w:type="character" w:customStyle="1" w:styleId="SubtitleChar">
    <w:name w:val="Subtitle Char"/>
    <w:basedOn w:val="DefaultParagraphFont"/>
    <w:link w:val="Subtitle"/>
    <w:uiPriority w:val="11"/>
    <w:rsid w:val="00AB20AA"/>
    <w:rPr>
      <w:rFonts w:eastAsiaTheme="majorEastAsia" w:cstheme="majorBidi"/>
      <w:color w:val="FFFFFF" w:themeColor="text1" w:themeTint="A6"/>
      <w:spacing w:val="15"/>
      <w:sz w:val="28"/>
      <w:szCs w:val="28"/>
    </w:rPr>
  </w:style>
  <w:style w:type="paragraph" w:styleId="Quote">
    <w:name w:val="Quote"/>
    <w:basedOn w:val="Normal"/>
    <w:next w:val="Normal"/>
    <w:link w:val="QuoteChar"/>
    <w:uiPriority w:val="29"/>
    <w:qFormat/>
    <w:rsid w:val="00AB20AA"/>
    <w:pPr>
      <w:spacing w:before="160"/>
      <w:jc w:val="center"/>
    </w:pPr>
    <w:rPr>
      <w:i/>
      <w:iCs/>
      <w:color w:val="FFFFFF" w:themeColor="text1" w:themeTint="BF"/>
    </w:rPr>
  </w:style>
  <w:style w:type="character" w:customStyle="1" w:styleId="QuoteChar">
    <w:name w:val="Quote Char"/>
    <w:basedOn w:val="DefaultParagraphFont"/>
    <w:link w:val="Quote"/>
    <w:uiPriority w:val="29"/>
    <w:rsid w:val="00AB20AA"/>
    <w:rPr>
      <w:i/>
      <w:iCs/>
      <w:color w:val="FFFFFF" w:themeColor="text1" w:themeTint="BF"/>
    </w:rPr>
  </w:style>
  <w:style w:type="paragraph" w:styleId="ListParagraph">
    <w:name w:val="List Paragraph"/>
    <w:basedOn w:val="Normal"/>
    <w:uiPriority w:val="34"/>
    <w:qFormat/>
    <w:rsid w:val="00AB20AA"/>
    <w:pPr>
      <w:ind w:left="720"/>
      <w:contextualSpacing/>
    </w:pPr>
  </w:style>
  <w:style w:type="character" w:styleId="IntenseEmphasis">
    <w:name w:val="Intense Emphasis"/>
    <w:basedOn w:val="DefaultParagraphFont"/>
    <w:uiPriority w:val="21"/>
    <w:qFormat/>
    <w:rsid w:val="00AB20AA"/>
    <w:rPr>
      <w:i/>
      <w:iCs/>
      <w:color w:val="0F4761" w:themeColor="accent1" w:themeShade="BF"/>
    </w:rPr>
  </w:style>
  <w:style w:type="paragraph" w:styleId="IntenseQuote">
    <w:name w:val="Intense Quote"/>
    <w:basedOn w:val="Normal"/>
    <w:next w:val="Normal"/>
    <w:link w:val="IntenseQuoteChar"/>
    <w:uiPriority w:val="30"/>
    <w:qFormat/>
    <w:rsid w:val="00AB20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20AA"/>
    <w:rPr>
      <w:i/>
      <w:iCs/>
      <w:color w:val="0F4761" w:themeColor="accent1" w:themeShade="BF"/>
    </w:rPr>
  </w:style>
  <w:style w:type="character" w:styleId="IntenseReference">
    <w:name w:val="Intense Reference"/>
    <w:basedOn w:val="DefaultParagraphFont"/>
    <w:uiPriority w:val="32"/>
    <w:qFormat/>
    <w:rsid w:val="00AB20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653</Words>
  <Characters>3727</Characters>
  <Application>Microsoft Office Word</Application>
  <DocSecurity>0</DocSecurity>
  <Lines>31</Lines>
  <Paragraphs>8</Paragraphs>
  <ScaleCrop>false</ScaleCrop>
  <Company/>
  <LinksUpToDate>false</LinksUpToDate>
  <CharactersWithSpaces>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jangra</dc:creator>
  <cp:keywords/>
  <dc:description/>
  <cp:lastModifiedBy>Shivam jangra</cp:lastModifiedBy>
  <cp:revision>1</cp:revision>
  <dcterms:created xsi:type="dcterms:W3CDTF">2026-08-27T17:57:00Z</dcterms:created>
  <dcterms:modified xsi:type="dcterms:W3CDTF">2026-08-27T17:59:00Z</dcterms:modified>
</cp:coreProperties>
</file>