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The Trade Marks Act, 1999</w:t>
      </w:r>
    </w:p>
    <w:p>
      <w:r>
        <w:rPr>
          <w:i/>
          <w:color w:val="555555"/>
          <w:sz w:val="24"/>
        </w:rPr>
        <w:t>Key definitions (Section 2)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Governs registration and protection of trademarks in India; replaced the Trade and Merchandise Marks Act, 1958, to align with TRIPS. Administered by the Registrar of Trade Marks under the Controller General of Patents, Designs and Trade Marks (CGPDTM).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definitions (Section 2)</w:t>
      </w:r>
    </w:p>
    <w:p>
      <w:pPr>
        <w:pStyle w:val="ListBullet"/>
        <w:spacing w:after="40"/>
      </w:pPr>
      <w:r>
        <w:t>Trade mark: a mark capable of being represented graphically and capable of distinguishing the goods/services of one person from those of others; may include shape of goods, packaging and combination of colours.</w:t>
      </w:r>
    </w:p>
    <w:p>
      <w:pPr>
        <w:pStyle w:val="ListBullet"/>
        <w:spacing w:after="40"/>
      </w:pPr>
      <w:r>
        <w:t>Mark: includes a device, brand, heading, label, ticket, name, signature, word, letter, numeral, shape of goods, packaging or combination of colours.</w:t>
      </w:r>
    </w:p>
    <w:p>
      <w:pPr>
        <w:pStyle w:val="ListBullet"/>
        <w:spacing w:after="40"/>
      </w:pPr>
      <w:r>
        <w:t>Controller: the Controller-General of Patents, Designs and Trade Marks (Sec. 3).</w:t>
      </w:r>
    </w:p>
    <w:p>
      <w:pPr>
        <w:pStyle w:val="ListBullet"/>
        <w:spacing w:after="40"/>
      </w:pPr>
      <w:r>
        <w:t>'Article' and 'well-known trade mark', 'certification trade mark', 'collective mark' are also defined for their special registration categories.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scheme points</w:t>
      </w:r>
    </w:p>
    <w:p>
      <w:pPr>
        <w:pStyle w:val="ListBullet"/>
        <w:spacing w:after="40"/>
      </w:pPr>
      <w:r>
        <w:t>Registration is valid for 10 years, renewable indefinitely for successive 10-year terms.</w:t>
      </w:r>
    </w:p>
    <w:p>
      <w:pPr>
        <w:pStyle w:val="ListBullet"/>
        <w:spacing w:after="40"/>
      </w:pPr>
      <w:r>
        <w:t>Goods/services classified per the NICE Classification (45 classes).</w:t>
      </w:r>
    </w:p>
    <w:p>
      <w:pPr>
        <w:pStyle w:val="ListBullet"/>
        <w:spacing w:after="40"/>
      </w:pPr>
      <w:r>
        <w:t>Both registered and unregistered marks are protectable - infringement action for registered marks, passing-off action for unregistered marks.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Trademarks (and certification marks) can be used to protect brand names associated with Ayurvedic/herbal products and Ayush certification marks, complementing GI and patent-based protection of traditional knowledge.</w:t>
      </w:r>
    </w:p>
    <w:p/>
    <w:p>
      <w:r>
        <w:rPr>
          <w:i/>
          <w:color w:val="555555"/>
          <w:sz w:val="20"/>
        </w:rPr>
        <w:t>Note: Source excerpt: Section 2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