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F3A5F"/>
          <w:sz w:val="44"/>
        </w:rPr>
        <w:t>The Designs Act, 2000</w:t>
      </w:r>
    </w:p>
    <w:p>
      <w:r>
        <w:rPr>
          <w:i/>
          <w:color w:val="555555"/>
          <w:sz w:val="24"/>
        </w:rPr>
        <w:t>Key definitions (Section 2)</w:t>
      </w:r>
    </w:p>
    <w:p>
      <w:pPr>
        <w:spacing w:after="120"/>
        <w:pBdr>
          <w:bottom w:val="single" w:sz="8" w:space="1" w:color="1F3A5F"/>
        </w:pBdr>
      </w:pPr>
    </w:p>
    <w:p>
      <w:pPr>
        <w:pStyle w:val="Heading1"/>
        <w:spacing w:before="280" w:after="80"/>
      </w:pPr>
      <w:r>
        <w:rPr>
          <w:color w:val="1F3A5F"/>
          <w:sz w:val="30"/>
        </w:rPr>
        <w:t>Purpose</w:t>
      </w:r>
    </w:p>
    <w:p>
      <w:pPr>
        <w:spacing w:after="120"/>
      </w:pPr>
      <w:r>
        <w:t>Protects the visual/aesthetic features (shape, configuration, pattern, ornament, composition of lines/colours) applied to an article, which appeal to and are judged solely by the eye. Replaced the Designs Act, 1911; TRIPS-compliant.</w:t>
      </w:r>
    </w:p>
    <w:p>
      <w:pPr>
        <w:pStyle w:val="Heading1"/>
        <w:spacing w:before="280" w:after="80"/>
      </w:pPr>
      <w:r>
        <w:rPr>
          <w:color w:val="1F3A5F"/>
          <w:sz w:val="30"/>
        </w:rPr>
        <w:t>Key definitions (Section 2)</w:t>
      </w:r>
    </w:p>
    <w:p>
      <w:pPr>
        <w:pStyle w:val="ListBullet"/>
        <w:spacing w:after="40"/>
      </w:pPr>
      <w:r>
        <w:t>Article: any article of manufacture, including any part of an article capable of being made and sold separately (same wording as the Trade Marks Act).</w:t>
      </w:r>
    </w:p>
    <w:p>
      <w:pPr>
        <w:pStyle w:val="ListBullet"/>
        <w:spacing w:after="40"/>
      </w:pPr>
      <w:r>
        <w:t>Design: features of shape, configuration, pattern, ornament or composition of lines/colours applied to an article by any industrial process, judged solely by the eye - excludes any mode or principle of construction, or anything that is purely functional.</w:t>
      </w:r>
    </w:p>
    <w:p>
      <w:pPr>
        <w:pStyle w:val="ListBullet"/>
        <w:spacing w:after="40"/>
      </w:pPr>
      <w:r>
        <w:t>Controller: Controller-General of Patents, Designs and Trade Marks.</w:t>
      </w:r>
    </w:p>
    <w:p>
      <w:pPr>
        <w:pStyle w:val="Heading1"/>
        <w:spacing w:before="280" w:after="80"/>
      </w:pPr>
      <w:r>
        <w:rPr>
          <w:color w:val="1F3A5F"/>
          <w:sz w:val="30"/>
        </w:rPr>
        <w:t>Key scheme points</w:t>
      </w:r>
    </w:p>
    <w:p>
      <w:pPr>
        <w:pStyle w:val="ListBullet"/>
        <w:spacing w:after="40"/>
      </w:pPr>
      <w:r>
        <w:t>A design must be new/original and not previously published/used to be registrable.</w:t>
      </w:r>
    </w:p>
    <w:p>
      <w:pPr>
        <w:pStyle w:val="ListBullet"/>
        <w:spacing w:after="40"/>
      </w:pPr>
      <w:r>
        <w:t>Registration confers copyright (as statutorily defined - exclusive right to apply the design) for an initial 10 years, extendable once by 5 years.</w:t>
      </w:r>
    </w:p>
    <w:p>
      <w:pPr>
        <w:pStyle w:val="ListBullet"/>
        <w:spacing w:after="40"/>
      </w:pPr>
      <w:r>
        <w:t>Registered designs are distinct from and cannot overlap with 'artistic works' under the Copyright Act once industrially applied more than 50 times.</w:t>
      </w:r>
    </w:p>
    <w:p>
      <w:pPr>
        <w:pStyle w:val="Heading1"/>
        <w:spacing w:before="280" w:after="80"/>
      </w:pPr>
      <w:r>
        <w:rPr>
          <w:color w:val="1F3A5F"/>
          <w:sz w:val="30"/>
        </w:rPr>
        <w:t>Relevance to IP/TK theme</w:t>
      </w:r>
    </w:p>
    <w:p>
      <w:pPr>
        <w:spacing w:after="120"/>
      </w:pPr>
      <w:r>
        <w:t>Design protection can cover distinctive packaging or ornamentation used for traditional/Ayurvedic product lines, though it does not protect traditional patterns/motifs that are already in the public domain (prior publication bar).</w:t>
      </w:r>
    </w:p>
    <w:p/>
    <w:p>
      <w:r>
        <w:rPr>
          <w:i/>
          <w:color w:val="555555"/>
          <w:sz w:val="20"/>
        </w:rPr>
        <w:t>Note: Source excerpt: Section 2 definitions.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