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The Copyright Act, 1957</w:t>
      </w:r>
    </w:p>
    <w:p>
      <w:r>
        <w:rPr>
          <w:i/>
          <w:color w:val="555555"/>
          <w:sz w:val="24"/>
        </w:rPr>
        <w:t>Key definitions (Section 2)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Purpose</w:t>
      </w:r>
    </w:p>
    <w:p>
      <w:pPr>
        <w:spacing w:after="120"/>
      </w:pPr>
      <w:r>
        <w:t>Protects original literary, dramatic, musical and artistic works, cinematograph films and sound recordings. Grants the author a bundle of exclusive economic and moral rights.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Key definitions (Section 2)</w:t>
      </w:r>
    </w:p>
    <w:p>
      <w:pPr>
        <w:pStyle w:val="ListBullet"/>
        <w:spacing w:after="40"/>
      </w:pPr>
      <w:r>
        <w:t>Adaptation: conversion of a work from one form to another - e.g. a dramatic work into a non-dramatic work, or a literary/artistic work into a dramatic work by way of performance, or abridgement/alteration/re-arrangement of the work.</w:t>
      </w:r>
    </w:p>
    <w:p>
      <w:pPr>
        <w:spacing w:after="120"/>
      </w:pPr>
      <w:r>
        <w:t>(Section 2 also defines: 'artistic work', 'author', 'broadcast', 'copyright', 'cinematograph film', 'literary work', 'performer', 'sound recording', 'work of joint authorship', etc. - the full list runs through most of the alphabet and underpins every substantive provision of the Act.)</w:t>
      </w:r>
    </w:p>
    <w:p>
      <w:pPr>
        <w:pStyle w:val="Heading1"/>
        <w:spacing w:before="280" w:after="80"/>
      </w:pPr>
      <w:r>
        <w:rPr>
          <w:color w:val="1F3A5F"/>
          <w:sz w:val="30"/>
        </w:rPr>
        <w:t>Key scheme points</w:t>
      </w:r>
    </w:p>
    <w:p>
      <w:pPr>
        <w:pStyle w:val="ListBullet"/>
        <w:spacing w:after="40"/>
      </w:pPr>
      <w:r>
        <w:t>Copyright subsists automatically on creation and fixation - no registration is mandatory (though the Copyright Office register is useful evidence).</w:t>
      </w:r>
    </w:p>
    <w:p>
      <w:pPr>
        <w:pStyle w:val="ListBullet"/>
        <w:spacing w:after="40"/>
      </w:pPr>
      <w:r>
        <w:t>Duration: generally life of the author + 60 years (for literary/dramatic/musical/artistic works); 60 years from publication for films, sound recordings, and works of corporate/anonymous authorship.</w:t>
      </w:r>
    </w:p>
    <w:p>
      <w:pPr>
        <w:pStyle w:val="ListBullet"/>
        <w:spacing w:after="40"/>
      </w:pPr>
      <w:r>
        <w:t>Exclusive rights include reproduction, issue of copies, public performance, communication to the public, adaptation and translation; moral rights (Sec. 57) - right of paternity and integrity - survive even after assignment of economic rights.</w:t>
      </w:r>
    </w:p>
    <w:p>
      <w:pPr>
        <w:pStyle w:val="ListBullet"/>
        <w:spacing w:after="40"/>
      </w:pPr>
      <w:r>
        <w:t>Fair dealing exceptions exist under Section 52 (research, private use, criticism/review, reporting current events, educational use, etc.).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Relevance to IP/TK theme</w:t>
      </w:r>
    </w:p>
    <w:p>
      <w:pPr>
        <w:spacing w:after="120"/>
      </w:pPr>
      <w:r>
        <w:t>Copyright does not protect traditional knowledge itself (which lacks a single identifiable 'author' and is often ancient/in the public domain), but can protect original compilations, databases (e.g. TKDL's classification and translation work) and derivative commentaries on traditional texts.</w:t>
      </w:r>
    </w:p>
    <w:p/>
    <w:p>
      <w:r>
        <w:rPr>
          <w:i/>
          <w:color w:val="555555"/>
          <w:sz w:val="20"/>
        </w:rPr>
        <w:t>Note: Source excerpt: Section 2 definitions.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