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4"/>
        </w:rPr>
        <w:t>Protection of Plant Varieties and Farmers' Rights (PPV&amp;FR) Act, 2001</w:t>
      </w:r>
    </w:p>
    <w:p>
      <w:r>
        <w:rPr>
          <w:i/>
          <w:color w:val="555555"/>
          <w:sz w:val="24"/>
        </w:rPr>
        <w:t>Farmers' Rights - Section 39</w:t>
      </w:r>
    </w:p>
    <w:p>
      <w:pPr>
        <w:spacing w:after="120"/>
        <w:pBdr>
          <w:bottom w:val="single" w:sz="8" w:space="1" w:color="1F3A5F"/>
        </w:pBdr>
      </w:pPr>
    </w:p>
    <w:p>
      <w:pPr>
        <w:pStyle w:val="Heading1"/>
        <w:spacing w:before="280" w:after="80"/>
      </w:pPr>
      <w:r>
        <w:rPr>
          <w:color w:val="1F3A5F"/>
          <w:sz w:val="30"/>
        </w:rPr>
        <w:t>Purpose</w:t>
      </w:r>
    </w:p>
    <w:p>
      <w:pPr>
        <w:spacing w:after="120"/>
      </w:pPr>
      <w:r>
        <w:t>India's sui generis (non-patent) legislation for plant variety protection, mandated by TRIPS Article 27.3(b). Uniquely among such laws worldwide, it gives farmers rights on par with formal plant breeders. Administered by the Protection of Plant Varieties and Farmers' Rights Authority (PPV&amp;FRA).</w:t>
      </w:r>
    </w:p>
    <w:p>
      <w:pPr>
        <w:pStyle w:val="Heading1"/>
        <w:spacing w:before="280" w:after="80"/>
      </w:pPr>
      <w:r>
        <w:rPr>
          <w:color w:val="1F3A5F"/>
          <w:sz w:val="30"/>
        </w:rPr>
        <w:t>Section 39 - Farmers' Rights (core provisions)</w:t>
      </w:r>
    </w:p>
    <w:p>
      <w:pPr>
        <w:pStyle w:val="ListBullet"/>
        <w:spacing w:after="40"/>
      </w:pPr>
      <w:r>
        <w:t>A farmer who has bred or developed a new variety is entitled to registration and protection in like manner as a breeder under the Act.</w:t>
      </w:r>
    </w:p>
    <w:p>
      <w:pPr>
        <w:pStyle w:val="ListBullet"/>
        <w:spacing w:after="40"/>
      </w:pPr>
      <w:r>
        <w:t>A 'farmers' variety' is entitled to registration if the application contains the declarations specified under Sec. 18(1)(h).</w:t>
      </w:r>
    </w:p>
    <w:p>
      <w:pPr>
        <w:pStyle w:val="ListBullet"/>
        <w:spacing w:after="40"/>
      </w:pPr>
      <w:r>
        <w:t>Farmers are entitled to save, use, sow, re-sow, exchange, share or sell their farm produce of a protected variety, including seed - EXCEPT they cannot sell branded seed of a protected variety.</w:t>
      </w:r>
    </w:p>
    <w:p>
      <w:pPr>
        <w:pStyle w:val="ListBullet"/>
        <w:spacing w:after="40"/>
      </w:pPr>
      <w:r>
        <w:t>Farmers are also recognised/rewarded for conservation of plant genetic resources through the Plant Genome Savior Community/individual recognition/award, and for contributing to the national gene bank.</w:t>
      </w:r>
    </w:p>
    <w:p>
      <w:pPr>
        <w:pStyle w:val="ListBullet"/>
        <w:spacing w:after="40"/>
      </w:pPr>
      <w:r>
        <w:t>Farmers are exempted from paying any fee in any proceeding before the Authority/Registrar/Tribunal/High Court under the Act.</w:t>
      </w:r>
    </w:p>
    <w:p>
      <w:pPr>
        <w:pStyle w:val="Heading1"/>
        <w:spacing w:before="280" w:after="80"/>
      </w:pPr>
      <w:r>
        <w:rPr>
          <w:color w:val="1F3A5F"/>
          <w:sz w:val="30"/>
        </w:rPr>
        <w:t>Other structural points to know</w:t>
      </w:r>
    </w:p>
    <w:p>
      <w:pPr>
        <w:pStyle w:val="ListBullet"/>
        <w:spacing w:after="40"/>
      </w:pPr>
      <w:r>
        <w:t>Grants Plant Breeders' Rights (PBR) for new, distinct, uniform and stable (DUS) varieties, and also allows registration of extant varieties (already in commercial use).</w:t>
      </w:r>
    </w:p>
    <w:p>
      <w:pPr>
        <w:pStyle w:val="ListBullet"/>
        <w:spacing w:after="40"/>
      </w:pPr>
      <w:r>
        <w:t>Term of protection: 18 years for trees/vines; 15 years for other crops; 9 years for extant varieties (renewable up to those maxima).</w:t>
      </w:r>
    </w:p>
    <w:p>
      <w:pPr>
        <w:pStyle w:val="ListBullet"/>
        <w:spacing w:after="40"/>
      </w:pPr>
      <w:r>
        <w:t>Establishes benefit-sharing: any person can claim benefit sharing from a registered variety's commercial use if it draws on their genetic material/traditional knowledge.</w:t>
      </w:r>
    </w:p>
    <w:p>
      <w:pPr>
        <w:pStyle w:val="Heading1"/>
        <w:spacing w:before="280" w:after="80"/>
      </w:pPr>
      <w:r>
        <w:rPr>
          <w:color w:val="1F3A5F"/>
          <w:sz w:val="30"/>
        </w:rPr>
        <w:t>Relevance to IP/TK theme</w:t>
      </w:r>
    </w:p>
    <w:p>
      <w:pPr>
        <w:spacing w:after="120"/>
      </w:pPr>
      <w:r>
        <w:t>The Act balances formal plant-breeders' IP rights with farmers' customary rights to seed and recognises the contribution of traditional/indigenous farming communities to crop genetic diversity - directly linking to CBD/Nagoya benefit-sharing principles.</w:t>
      </w:r>
    </w:p>
    <w:p/>
    <w:p>
      <w:r>
        <w:rPr>
          <w:i/>
          <w:color w:val="555555"/>
          <w:sz w:val="20"/>
        </w:rPr>
        <w:t>Note: Source excerpt: Section 39 (Farmers' Rights).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