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Biological Diversity Act, 2002</w:t>
      </w:r>
    </w:p>
    <w:p>
      <w:r>
        <w:rPr>
          <w:i/>
          <w:color w:val="555555"/>
          <w:sz w:val="24"/>
        </w:rPr>
        <w:t>Key definitions (Section 2)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India's domestic legislation implementing the Convention on Biological Diversity (CBD) - provides for conservation of biological diversity, sustainable use of its components, and fair and equitable sharing of benefits from the use of biological resources and associated traditional knowledge.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definitions (Section 2)</w:t>
      </w:r>
    </w:p>
    <w:p>
      <w:pPr>
        <w:pStyle w:val="ListBullet"/>
        <w:spacing w:after="40"/>
      </w:pPr>
      <w:r>
        <w:t>Access: collecting, procuring or possessing any biological resource occurring in/obtained from India, or associated traditional knowledge, for research, bio-survey or commercial utilisation.</w:t>
      </w:r>
    </w:p>
    <w:p>
      <w:pPr>
        <w:pStyle w:val="ListBullet"/>
        <w:spacing w:after="40"/>
      </w:pPr>
      <w:r>
        <w:t>Benefit claimers: conservers of biological resources, their by-products, creators and holders of knowledge/information relating to the use of such biological resources, innovations and practices associated with such use.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Three-tier institutional structure</w:t>
      </w:r>
    </w:p>
    <w:p>
      <w:pPr>
        <w:pStyle w:val="ListBullet"/>
        <w:spacing w:after="40"/>
      </w:pPr>
      <w:r>
        <w:t>National Biodiversity Authority (NBA) - regulates access by foreign entities/non-resident Indians; approves grant of IPR based on Indian biological material.</w:t>
      </w:r>
    </w:p>
    <w:p>
      <w:pPr>
        <w:pStyle w:val="ListBullet"/>
        <w:spacing w:after="40"/>
      </w:pPr>
      <w:r>
        <w:t>State Biodiversity Boards (SBBs) - regulate access by Indian citizens/entities at the state level.</w:t>
      </w:r>
    </w:p>
    <w:p>
      <w:pPr>
        <w:pStyle w:val="ListBullet"/>
        <w:spacing w:after="40"/>
      </w:pPr>
      <w:r>
        <w:t>Biodiversity Management Committees (BMCs) - at local/panchayat level; maintain People's Biodiversity Registers (PBRs).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operative provisions</w:t>
      </w:r>
    </w:p>
    <w:p>
      <w:pPr>
        <w:pStyle w:val="ListBullet"/>
        <w:spacing w:after="40"/>
      </w:pPr>
      <w:r>
        <w:t>Prior approval of the NBA is required before applying for any IPR (in India or abroad) based on research/information from biological resources obtained from India.</w:t>
      </w:r>
    </w:p>
    <w:p>
      <w:pPr>
        <w:pStyle w:val="ListBullet"/>
        <w:spacing w:after="40"/>
      </w:pPr>
      <w:r>
        <w:t>Foreign nationals/companies/NRIs need prior NBA approval to access Indian biological resources for research or commercial use; Indian citizens/entities generally need only intimate the SBB.</w:t>
      </w:r>
    </w:p>
    <w:p>
      <w:pPr>
        <w:pStyle w:val="ListBullet"/>
        <w:spacing w:after="40"/>
      </w:pPr>
      <w:r>
        <w:t>The NBA determines benefit-sharing terms - can include monetary compensation, joint IPR ownership, technology transfer, or association of Indian scientists/institutions in R&amp;D.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This Act is the domestic legal backbone connecting India's Patents Act (Sec. 3(p) and the biological-source disclosure requirement under Sec. 10(4)(ii)(D)), TKDL, and CBD/Nagoya Protocol obligations into one access-and-benefit-sharing (ABS) framework.</w:t>
      </w:r>
    </w:p>
    <w:p/>
    <w:p>
      <w:r>
        <w:rPr>
          <w:i/>
          <w:color w:val="555555"/>
          <w:sz w:val="20"/>
        </w:rPr>
        <w:t>Note: Source excerpt: Section 2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