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Biological Diversity Rules, 2024</w:t>
      </w:r>
    </w:p>
    <w:p>
      <w:r>
        <w:rPr>
          <w:i/>
          <w:color w:val="555555"/>
          <w:sz w:val="24"/>
        </w:rPr>
        <w:t>Selected provisions - NBA governance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Purpose</w:t>
      </w:r>
    </w:p>
    <w:p>
      <w:pPr>
        <w:spacing w:after="120"/>
      </w:pPr>
      <w:r>
        <w:t>Procedural rules framed under the Biological Diversity Act, 2002 (as amended in 2023), governing the constitution and functioning of the National Biodiversity Authority (NBA) and implementation of access-and-benefit-sharing (ABS) requirements.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provisions in the extract</w:t>
      </w:r>
    </w:p>
    <w:p>
      <w:pPr>
        <w:pStyle w:val="Heading2"/>
        <w:spacing w:before="160" w:after="40"/>
      </w:pPr>
      <w:r>
        <w:rPr>
          <w:color w:val="2E5C8A"/>
          <w:sz w:val="25"/>
        </w:rPr>
        <w:t>Rule 3 - Appointment of Chairperson</w:t>
      </w:r>
    </w:p>
    <w:p>
      <w:pPr>
        <w:pStyle w:val="ListBullet"/>
        <w:spacing w:after="40"/>
      </w:pPr>
      <w:r>
        <w:t>The Chairperson of the (NBA) Authority is appointed by the Central Government.</w:t>
      </w:r>
    </w:p>
    <w:p>
      <w:pPr>
        <w:pStyle w:val="ListBullet"/>
        <w:spacing w:after="40"/>
      </w:pPr>
      <w:r>
        <w:t>Appointment is made either on deputation, or by selection from outside government; if by deputation, the officer must not be below the rank of Additional Secretary to the Government of India.</w:t>
      </w:r>
    </w:p>
    <w:p>
      <w:pPr>
        <w:pStyle w:val="Heading2"/>
        <w:spacing w:before="160" w:after="40"/>
      </w:pPr>
      <w:r>
        <w:rPr>
          <w:color w:val="2E5C8A"/>
          <w:sz w:val="25"/>
        </w:rPr>
        <w:t>Rule 7 - Resignation/vacancy of non-official members</w:t>
      </w:r>
    </w:p>
    <w:p>
      <w:pPr>
        <w:pStyle w:val="ListBullet"/>
        <w:spacing w:after="40"/>
      </w:pPr>
      <w:r>
        <w:t>A non-official member may resign at any time by written notice to the Central Government; the seat then becomes vacant.</w:t>
      </w:r>
    </w:p>
    <w:p>
      <w:pPr>
        <w:pStyle w:val="ListBullet"/>
        <w:spacing w:after="40"/>
      </w:pPr>
      <w:r>
        <w:t>A casual vacancy of a non-official member is filled by fresh nomination; the newly nominated member holds office only for the remainder of the original member's term.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Why this matters</w:t>
      </w:r>
    </w:p>
    <w:p>
      <w:pPr>
        <w:spacing w:after="120"/>
      </w:pPr>
      <w:r>
        <w:t>These governance rules keep the NBA's leadership properly staffed and senior enough (Additional Secretary-level or equivalent) to take authoritative decisions on ABS approvals, IPR clearances and biopiracy enforcement discussed under the parent 2002 Act.</w:t>
      </w:r>
    </w:p>
    <w:p/>
    <w:p>
      <w:r>
        <w:rPr>
          <w:i/>
          <w:color w:val="555555"/>
          <w:sz w:val="20"/>
        </w:rPr>
        <w:t>Note: Source excerpt: Sections/Rules 3 and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