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The Drugs and Cosmetics Act, 1940</w:t>
      </w:r>
    </w:p>
    <w:p>
      <w:r>
        <w:rPr>
          <w:i/>
          <w:color w:val="555555"/>
          <w:sz w:val="24"/>
        </w:rPr>
        <w:t>Ayurvedic, Siddha and Unani drugs - Section 3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Purpose</w:t>
      </w:r>
    </w:p>
    <w:p>
      <w:pPr>
        <w:spacing w:after="120"/>
      </w:pPr>
      <w:r>
        <w:t>Regulates the import, manufacture, distribution and sale of drugs and cosmetics in India, including a dedicated regime for Ayurvedic, Siddha and Unani (ASU) drugs; enforced together with the Drugs and Cosmetics Rules, 1945.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Section 3 - key definitions</w:t>
      </w:r>
    </w:p>
    <w:p>
      <w:pPr>
        <w:pStyle w:val="ListBullet"/>
        <w:spacing w:after="40"/>
      </w:pPr>
      <w:r>
        <w:t>'Ayurvedic, Siddha or Unani drug' includes all medicines intended for internal/external use in the diagnosis, treatment, mitigation or prevention of disease/disorder in humans or animals, and manufactured exclusively in accordance with the formulae described in the authoritative books of the respective systems specified in the First Schedule to the Act.</w:t>
      </w:r>
    </w:p>
    <w:p>
      <w:pPr>
        <w:pStyle w:val="ListBullet"/>
        <w:spacing w:after="40"/>
      </w:pPr>
      <w:r>
        <w:t>Also includes patent or proprietary ASU medicines - i.e. formulated on scientific principles of these systems but not necessarily named in the authoritative texts.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Why it matters</w:t>
      </w:r>
    </w:p>
    <w:p>
      <w:pPr>
        <w:pStyle w:val="ListBullet"/>
        <w:spacing w:after="40"/>
      </w:pPr>
      <w:r>
        <w:t>Provides the statutory definition that anchors licensing, manufacturing standards (GMP for ASU drugs), and labelling requirements specific to traditional-medicine products, distinct from allopathic drugs.</w:t>
      </w:r>
    </w:p>
    <w:p>
      <w:pPr>
        <w:pStyle w:val="ListBullet"/>
        <w:spacing w:after="40"/>
      </w:pPr>
      <w:r>
        <w:t>The reference to 'authoritative books' (Charaka Samhita, Sushruta Samhita, Bhavaprakasha, Ashtanga Hridaya, etc. for Ayurveda) ties classical textual traditional knowledge directly into modern drug regulation.</w:t>
      </w:r>
    </w:p>
    <w:p/>
    <w:p>
      <w:r>
        <w:rPr>
          <w:i/>
          <w:color w:val="555555"/>
          <w:sz w:val="20"/>
        </w:rPr>
        <w:t>Note: Source excerpt: Section 3 definitions.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