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Drugs and Magic Remedies (Objectionable Advertisements) Act, 1954</w:t>
      </w:r>
    </w:p>
    <w:p>
      <w:r>
        <w:rPr>
          <w:i/>
          <w:color w:val="555555"/>
          <w:sz w:val="24"/>
        </w:rPr>
        <w:t>Section 3 - Prohibited advertisements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Purpose</w:t>
      </w:r>
    </w:p>
    <w:p>
      <w:pPr>
        <w:spacing w:after="120"/>
      </w:pPr>
      <w:r>
        <w:t>Prohibits misleading/objectionable advertisements of drugs (including ASU drugs) and 'magic remedies' claiming miraculous or magical curative properties, to protect the public from quackery.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Section 3 - what is prohibited</w:t>
      </w:r>
    </w:p>
    <w:p>
      <w:pPr>
        <w:spacing w:after="120"/>
      </w:pPr>
      <w:r>
        <w:t>No person may take part in publishing any advertisement referring to a drug in terms that suggest or are calculated to lead to its use for:</w:t>
      </w:r>
    </w:p>
    <w:p>
      <w:pPr>
        <w:pStyle w:val="ListBullet"/>
        <w:spacing w:after="40"/>
      </w:pPr>
      <w:r>
        <w:t>(a) procuring miscarriage in women, or preventing conception;</w:t>
      </w:r>
    </w:p>
    <w:p>
      <w:pPr>
        <w:pStyle w:val="ListBullet"/>
        <w:spacing w:after="40"/>
      </w:pPr>
      <w:r>
        <w:t>(b) maintaining or improving capacity for sexual pleasure;</w:t>
      </w:r>
    </w:p>
    <w:p>
      <w:pPr>
        <w:pStyle w:val="ListBullet"/>
        <w:spacing w:after="40"/>
      </w:pPr>
      <w:r>
        <w:t>(c) correcting menstrual disorders in women;</w:t>
      </w:r>
    </w:p>
    <w:p>
      <w:pPr>
        <w:pStyle w:val="ListBullet"/>
        <w:spacing w:after="40"/>
      </w:pPr>
      <w:r>
        <w:t>and a range of similarly specified conditions listed in the Schedule to the Act (e.g. diseases for which self-medication advertising is barred).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Relevance to IP/TK theme</w:t>
      </w:r>
    </w:p>
    <w:p>
      <w:pPr>
        <w:spacing w:after="120"/>
      </w:pPr>
      <w:r>
        <w:t>Directly relevant to marketing of Ayurvedic/traditional formulations - claims of 'magical' or miracle cures for the scheduled conditions, even for genuinely traditional remedies, are advertising offences under this Act, reinforcing the need for scientifically substantiated claims.</w:t>
      </w:r>
    </w:p>
    <w:p/>
    <w:p>
      <w:r>
        <w:rPr>
          <w:i/>
          <w:color w:val="555555"/>
          <w:sz w:val="20"/>
        </w:rPr>
        <w:t>Note: Source excerpt: Section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