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3A5F"/>
          <w:sz w:val="44"/>
        </w:rPr>
        <w:t>Food Safety and Standards (Ayurveda Aahara) Regulations, 2022</w:t>
      </w:r>
    </w:p>
    <w:p>
      <w:r>
        <w:rPr>
          <w:i/>
          <w:color w:val="555555"/>
          <w:sz w:val="24"/>
        </w:rPr>
        <w:t>Gazette Notification dated 05 May 2022</w:t>
      </w:r>
    </w:p>
    <w:p>
      <w:pPr>
        <w:spacing w:after="120"/>
        <w:pBdr>
          <w:bottom w:val="single" w:sz="8" w:space="1" w:color="1F3A5F"/>
        </w:pBdr>
      </w:pPr>
    </w:p>
    <w:p>
      <w:pPr>
        <w:pStyle w:val="Heading1"/>
        <w:spacing w:before="280" w:after="80"/>
      </w:pPr>
      <w:r>
        <w:rPr>
          <w:color w:val="1F3A5F"/>
          <w:sz w:val="30"/>
        </w:rPr>
        <w:t>Purpose</w:t>
      </w:r>
    </w:p>
    <w:p>
      <w:pPr>
        <w:spacing w:after="120"/>
      </w:pPr>
      <w:r>
        <w:t>A dedicated regulatory category created by the Food Safety and Standards Authority of India (FSSAI) for 'Ayurveda Aahara' products - traditional Ayurvedic food/dietary preparations that sit at the interface of food and Ayurvedic medicine, so they can be regulated as food rather than requiring drug licensing.</w:t>
      </w:r>
    </w:p>
    <w:p>
      <w:pPr>
        <w:pStyle w:val="Heading1"/>
        <w:spacing w:before="280" w:after="80"/>
      </w:pPr>
      <w:r>
        <w:rPr>
          <w:color w:val="1F3A5F"/>
          <w:sz w:val="30"/>
        </w:rPr>
        <w:t>Key features</w:t>
      </w:r>
    </w:p>
    <w:p>
      <w:pPr>
        <w:pStyle w:val="ListBullet"/>
        <w:spacing w:after="40"/>
      </w:pPr>
      <w:r>
        <w:t>Defines 'Ayurveda Aahara' as a food product formulated using ingredients/formulations described in the authoritative books of Ayurveda listed under the First Schedule of the Drugs and Cosmetics Act, 1940, or in the FSSAI-approved list, and prepared without therapeutic claims that would classify it as a drug.</w:t>
      </w:r>
    </w:p>
    <w:p>
      <w:pPr>
        <w:pStyle w:val="ListBullet"/>
        <w:spacing w:after="40"/>
      </w:pPr>
      <w:r>
        <w:t>Mandates labelling with the words 'Ayurveda Aahara' along with a standard disclaimer/logo, so consumers can distinguish these products from ordinary processed foods and from licensed Ayurvedic medicines.</w:t>
      </w:r>
    </w:p>
    <w:p>
      <w:pPr>
        <w:pStyle w:val="ListBullet"/>
        <w:spacing w:after="40"/>
      </w:pPr>
      <w:r>
        <w:t>Prohibits disease-cure or treatment claims on Ayurveda Aahara products - such claims would move the product into 'drug' territory under the Drugs and Cosmetics Act instead of 'food' under FSS law.</w:t>
      </w:r>
    </w:p>
    <w:p>
      <w:pPr>
        <w:pStyle w:val="ListBullet"/>
        <w:spacing w:after="40"/>
      </w:pPr>
      <w:r>
        <w:t>Lays down permitted ingredients, manufacturing/hygiene standards and an approval/registration pathway through FSSAI, separate from Ayush drug licensing.</w:t>
      </w:r>
    </w:p>
    <w:p>
      <w:pPr>
        <w:pStyle w:val="Heading1"/>
        <w:spacing w:before="280" w:after="80"/>
      </w:pPr>
      <w:r>
        <w:rPr>
          <w:color w:val="1F3A5F"/>
          <w:sz w:val="30"/>
        </w:rPr>
        <w:t>Why it matters</w:t>
      </w:r>
    </w:p>
    <w:p>
      <w:pPr>
        <w:spacing w:after="120"/>
      </w:pPr>
      <w:r>
        <w:t>Creates regulatory clarity for the fast-growing Ayurvedic nutraceutical/functional-food industry, avoiding the earlier ambiguity of whether such products should be licensed as food or drugs, and closes a gap between the Drugs and Cosmetics Act, 1940 and the FSS Act, 2006.</w:t>
      </w:r>
    </w:p>
    <w:p/>
    <w:p>
      <w:r>
        <w:rPr>
          <w:i/>
          <w:color w:val="555555"/>
          <w:sz w:val="20"/>
        </w:rPr>
        <w:t>Note: Source: 8-page Gazette notification issued by FSSAI.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