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Traditional Knowledge Digital Library (TKDL)</w:t>
      </w:r>
    </w:p>
    <w:p>
      <w:r>
        <w:rPr>
          <w:i/>
          <w:color w:val="555555"/>
          <w:sz w:val="24"/>
        </w:rPr>
        <w:t>General information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What it is</w:t>
      </w:r>
    </w:p>
    <w:p>
      <w:pPr>
        <w:spacing w:after="120"/>
      </w:pPr>
      <w:r>
        <w:t>TKDL is India's pioneering initiative to protect Indian traditional medicinal knowledge from misappropriation at international patent offices, by converting India's traditional-medicine literature into searchable, prior-art-ready form.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Why it was needed</w:t>
      </w:r>
    </w:p>
    <w:p>
      <w:pPr>
        <w:pStyle w:val="ListBullet"/>
        <w:spacing w:after="40"/>
      </w:pPr>
      <w:r>
        <w:t>Over 70% of India's population depends on traditional medicine for healthcare, making misuse of this knowledge a livelihood/heritage issue for indigenous and local communities.</w:t>
      </w:r>
    </w:p>
    <w:p>
      <w:pPr>
        <w:pStyle w:val="ListBullet"/>
        <w:spacing w:after="40"/>
      </w:pPr>
      <w:r>
        <w:t>Trigger case: grant of a US patent on the wound-healing properties of turmeric, later revoked only after time, effort and money were spent proving prior art existed.</w:t>
      </w:r>
    </w:p>
    <w:p>
      <w:pPr>
        <w:pStyle w:val="ListBullet"/>
        <w:spacing w:after="40"/>
      </w:pPr>
      <w:r>
        <w:t>India's traditional-medicine literature exists in Sanskrit, Hindi, Arabic, Urdu, Tamil and other ancient/local-dialect texts inaccessible to international patent examiners - a language/format barrier TKDL was built to overcome.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How it works</w:t>
      </w:r>
    </w:p>
    <w:p>
      <w:pPr>
        <w:pStyle w:val="ListBullet"/>
        <w:spacing w:after="40"/>
      </w:pPr>
      <w:r>
        <w:t>Systematically converts/structures textual content of Ayurveda, Siddha, Unani, Sowa Rigpa and Yoga into five languages - English, Japanese, French, German, Spanish - using an in-house classification system called the Traditional Knowledge Resource Classification (TKRC).</w:t>
      </w:r>
    </w:p>
    <w:p>
      <w:pPr>
        <w:pStyle w:val="ListBullet"/>
        <w:spacing w:after="40"/>
      </w:pPr>
      <w:r>
        <w:t>More than 4.54 lakh formulations/practices have been transcribed into the TKDL database.</w:t>
      </w:r>
    </w:p>
    <w:p>
      <w:pPr>
        <w:pStyle w:val="ListBullet"/>
        <w:spacing w:after="40"/>
      </w:pPr>
      <w:r>
        <w:t>TKRC created ~200 sub-groups under IPC code A61K 36/00 (vs a handful earlier under A61K 35/00), greatly improving prior-art search quality for medicinal-plant patent applications.</w:t>
      </w:r>
    </w:p>
    <w:p>
      <w:pPr>
        <w:pStyle w:val="ListBullet"/>
        <w:spacing w:after="40"/>
      </w:pPr>
      <w:r>
        <w:t>TKDL specifications were adopted internationally in 2003 by WIPO's Intergovernmental Committee (IGC) on IP, Genetic Resources, Traditional Knowledge and Folklore.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Access and impact</w:t>
      </w:r>
    </w:p>
    <w:p>
      <w:pPr>
        <w:pStyle w:val="ListBullet"/>
        <w:spacing w:after="40"/>
      </w:pPr>
      <w:r>
        <w:t>TKDL access is granted (under non-disclosure agreements) to 16 patent offices, including EPO, USPTO, JPO, UKIPO, and the Indian Patent Office - examiners may use it only for search/examination, not disclose contents to third parties (except for citation purposes).</w:t>
      </w:r>
    </w:p>
    <w:p>
      <w:pPr>
        <w:pStyle w:val="ListBullet"/>
        <w:spacing w:after="40"/>
      </w:pPr>
      <w:r>
        <w:t>Also used to file pre-grant oppositions with TKDL prior-art evidence at international patent offices.</w:t>
      </w:r>
    </w:p>
    <w:p>
      <w:pPr>
        <w:pStyle w:val="ListBullet"/>
        <w:spacing w:after="40"/>
      </w:pPr>
      <w:r>
        <w:t>Impact: 324+ patent applications have been set aside, withdrawn or amended based on TKDL prior art at little to no cost and within weeks/months - contrasted with the ~7 crore rupees APEDA spent purely in legal fees to revoke a few claims of the Basmati rice patent.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Significance</w:t>
      </w:r>
    </w:p>
    <w:p>
      <w:pPr>
        <w:spacing w:after="120"/>
      </w:pPr>
      <w:r>
        <w:t>TKDL is a proactive deterrent against biopiracy: by making TK prior art visible to examiners before a wrongful patent is even granted, it avoids costly after-the-fact litigation and has set an international benchmark for TK protection in other TK-rich countries.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