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4"/>
        </w:rPr>
        <w:t>Agreement on Trade-Related Aspects of Intellectual Property Rights (TRIPS)</w:t>
      </w:r>
    </w:p>
    <w:p>
      <w:r>
        <w:rPr>
          <w:i/>
          <w:color w:val="555555"/>
          <w:sz w:val="24"/>
        </w:rPr>
        <w:t>Key articles - 27 (patentable subject matter) &amp; 39 (undisclosed information)</w:t>
      </w:r>
    </w:p>
    <w:p>
      <w:pPr>
        <w:spacing w:after="120"/>
        <w:pBdr>
          <w:bottom w:val="single" w:sz="8" w:space="1" w:color="1F3A5F"/>
        </w:pBdr>
      </w:pPr>
    </w:p>
    <w:p>
      <w:pPr>
        <w:pStyle w:val="Heading1"/>
        <w:spacing w:before="280" w:after="80"/>
      </w:pPr>
      <w:r>
        <w:rPr>
          <w:color w:val="1F3A5F"/>
          <w:sz w:val="30"/>
        </w:rPr>
        <w:t>What it is</w:t>
      </w:r>
    </w:p>
    <w:p>
      <w:pPr>
        <w:spacing w:after="120"/>
      </w:pPr>
      <w:r>
        <w:t>A WTO Agreement (1994) setting minimum global standards for IP protection and enforcement, binding on all WTO member states, including India. It is the reason most Indian IP statutes (Patents, Trade Marks, Copyright, PPV&amp;FR, GI Acts) were amended post-1995.</w:t>
      </w:r>
    </w:p>
    <w:p>
      <w:pPr>
        <w:pStyle w:val="Heading1"/>
        <w:spacing w:before="280" w:after="80"/>
      </w:pPr>
      <w:r>
        <w:rPr>
          <w:color w:val="1F3A5F"/>
          <w:sz w:val="30"/>
        </w:rPr>
        <w:t>Article 27 - Patentable subject matter</w:t>
      </w:r>
    </w:p>
    <w:p>
      <w:pPr>
        <w:pStyle w:val="ListBullet"/>
        <w:spacing w:after="40"/>
      </w:pPr>
      <w:r>
        <w:t>Patents must be available for any inventions - products or processes, any field of technology - provided they are new, involve an inventive step, and are industrially applicable, without discrimination based on place of invention, field of technology, or whether products are imported/locally made.</w:t>
      </w:r>
    </w:p>
    <w:p>
      <w:pPr>
        <w:pStyle w:val="ListBullet"/>
        <w:spacing w:after="40"/>
      </w:pPr>
      <w:r>
        <w:t>Members MAY exclude from patentability inventions whose commercial exploitation must be prevented to protect public order/morality, including human/animal/plant life/health or to avoid serious environmental harm - but not merely because domestic law prohibits the exploitation.</w:t>
      </w:r>
    </w:p>
    <w:p>
      <w:pPr>
        <w:pStyle w:val="ListBullet"/>
        <w:spacing w:after="40"/>
      </w:pPr>
      <w:r>
        <w:t>Members MAY also exclude: (a) diagnostic, therapeutic and surgical methods for treating humans or animals; (b) plants and animals (other than micro-organisms) and essentially biological processes for producing plants/animals (non-biological/microbiological processes must still be patentable) - BUT members must protect plant varieties either by patents, an effective sui generis system, or a combination (this is the TRIPS basis for India's PPV&amp;FR Act, 2001).</w:t>
      </w:r>
    </w:p>
    <w:p>
      <w:pPr>
        <w:pStyle w:val="Heading1"/>
        <w:spacing w:before="280" w:after="80"/>
      </w:pPr>
      <w:r>
        <w:rPr>
          <w:color w:val="1F3A5F"/>
          <w:sz w:val="30"/>
        </w:rPr>
        <w:t>Article 39 - Protection of undisclosed information</w:t>
      </w:r>
    </w:p>
    <w:p>
      <w:pPr>
        <w:pStyle w:val="ListBullet"/>
        <w:spacing w:after="40"/>
      </w:pPr>
      <w:r>
        <w:t>Members must protect undisclosed information (trade secrets) against unfair-competition-style misuse, provided it is (a) secret, (b) has commercial value because it is secret, and (c) has been subject to reasonable steps to keep it secret.</w:t>
      </w:r>
    </w:p>
    <w:p>
      <w:pPr>
        <w:pStyle w:val="ListBullet"/>
        <w:spacing w:after="40"/>
      </w:pPr>
      <w:r>
        <w:t>Where governments require submission of undisclosed test data as a condition for approving marketing of pharmaceutical/agrochemical products using new chemical entities, that data must be protected against unfair commercial use and, generally, against disclosure.</w:t>
      </w:r>
    </w:p>
    <w:p>
      <w:pPr>
        <w:pStyle w:val="Heading1"/>
        <w:spacing w:before="280" w:after="80"/>
      </w:pPr>
      <w:r>
        <w:rPr>
          <w:color w:val="1F3A5F"/>
          <w:sz w:val="30"/>
        </w:rPr>
        <w:t>Relevance to IP/TK theme</w:t>
      </w:r>
    </w:p>
    <w:p>
      <w:pPr>
        <w:spacing w:after="120"/>
      </w:pPr>
      <w:r>
        <w:t>Article 27.3(b)'s plant-variety carve-out is why India built a sui generis regime instead of extending patents to plant varieties, and Article 39 underlies later debates on protecting clinical/test data for Ayurvedic/botanical drugs.</w:t>
      </w:r>
    </w:p>
    <w:p/>
    <w:p>
      <w:r>
        <w:rPr>
          <w:i/>
          <w:color w:val="555555"/>
          <w:sz w:val="20"/>
        </w:rPr>
        <w:t>Note: Source excerpt: Articles 27 and 39.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