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4"/>
        </w:rPr>
        <w:t>Convention on Biological Diversity (CBD), 1992</w:t>
      </w:r>
    </w:p>
    <w:p>
      <w:r>
        <w:rPr>
          <w:i/>
          <w:color w:val="555555"/>
          <w:sz w:val="24"/>
        </w:rPr>
        <w:t>Key articles - 1 (objectives) &amp; 15 (access to genetic resources)</w:t>
      </w:r>
    </w:p>
    <w:p>
      <w:pPr>
        <w:spacing w:after="120"/>
        <w:pBdr>
          <w:bottom w:val="single" w:sz="8" w:space="1" w:color="1F3A5F"/>
        </w:pBdr>
      </w:pPr>
    </w:p>
    <w:p>
      <w:pPr>
        <w:pStyle w:val="Heading1"/>
        <w:spacing w:before="280" w:after="80"/>
      </w:pPr>
      <w:r>
        <w:rPr>
          <w:color w:val="1F3A5F"/>
          <w:sz w:val="30"/>
        </w:rPr>
        <w:t>What it is</w:t>
      </w:r>
    </w:p>
    <w:p>
      <w:pPr>
        <w:spacing w:after="120"/>
      </w:pPr>
      <w:r>
        <w:t>A multilateral treaty opened for signature at the 1992 Rio Earth Summit; the first global agreement to treat biodiversity conservation as a matter of common concern while affirming national sovereignty over genetic resources. India's Biological Diversity Act, 2002 was enacted to implement it.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Article 1 - Objectives (the CBD's three pillars)</w:t>
      </w:r>
    </w:p>
    <w:p>
      <w:pPr>
        <w:pStyle w:val="ListBullet"/>
        <w:spacing w:after="40"/>
      </w:pPr>
      <w:r>
        <w:t>Conservation of biological diversity.</w:t>
      </w:r>
    </w:p>
    <w:p>
      <w:pPr>
        <w:pStyle w:val="ListBullet"/>
        <w:spacing w:after="40"/>
      </w:pPr>
      <w:r>
        <w:t>Sustainable use of its components.</w:t>
      </w:r>
    </w:p>
    <w:p>
      <w:pPr>
        <w:pStyle w:val="ListBullet"/>
        <w:spacing w:after="40"/>
      </w:pPr>
      <w:r>
        <w:t>Fair and equitable sharing of the benefits arising from the utilisation of genetic resources - through appropriate access to genetic resources, appropriate transfer of relevant technologies (taking into account rights over resources and technologies), and appropriate funding.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Article 15 - Access to genetic resources</w:t>
      </w:r>
    </w:p>
    <w:p>
      <w:pPr>
        <w:pStyle w:val="ListBullet"/>
        <w:spacing w:after="40"/>
      </w:pPr>
      <w:r>
        <w:t>Recognises the sovereign rights of States over their natural resources - authority to determine access rests with national governments, subject to national legislation.</w:t>
      </w:r>
    </w:p>
    <w:p>
      <w:pPr>
        <w:pStyle w:val="ListBullet"/>
        <w:spacing w:after="40"/>
      </w:pPr>
      <w:r>
        <w:t>Parties should endeavour to facilitate access for environmentally sound uses by other parties and avoid imposing restrictions counter to the Convention's objectives.</w:t>
      </w:r>
    </w:p>
    <w:p>
      <w:pPr>
        <w:pStyle w:val="ListBullet"/>
        <w:spacing w:after="40"/>
      </w:pPr>
      <w:r>
        <w:t>Access, where granted, must be on mutually agreed terms (MAT) and subject to the prior informed consent (PIC) of the providing party, unless that party decides otherwise.</w:t>
      </w:r>
    </w:p>
    <w:p>
      <w:pPr>
        <w:pStyle w:val="ListBullet"/>
        <w:spacing w:after="40"/>
      </w:pPr>
      <w:r>
        <w:t>Parties must aim to share, fairly and equitably, the results of research/development and the benefits of commercial/other utilisation of genetic resources with the providing party, on mutually agreed terms.</w:t>
      </w:r>
    </w:p>
    <w:p>
      <w:pPr>
        <w:pStyle w:val="Heading1"/>
        <w:spacing w:before="280" w:after="80"/>
      </w:pPr>
      <w:r>
        <w:rPr>
          <w:color w:val="1F3A5F"/>
          <w:sz w:val="30"/>
        </w:rPr>
        <w:t>Relevance to IP/TK theme</w:t>
      </w:r>
    </w:p>
    <w:p>
      <w:pPr>
        <w:spacing w:after="120"/>
      </w:pPr>
      <w:r>
        <w:t>The CBD's PIC + MAT + benefit-sharing framework is the template later elaborated by the Nagoya Protocol and domesticated in India through the Biological Diversity Act, 2002 (NBA/SBB/BMC approval system).</w:t>
      </w:r>
    </w:p>
    <w:p/>
    <w:p>
      <w:r>
        <w:rPr>
          <w:i/>
          <w:color w:val="555555"/>
          <w:sz w:val="20"/>
        </w:rPr>
        <w:t>Note: Source excerpt: Articles 1 and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