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Nagoya Protocol on Access to Genetic Resources and the Fair and Equitable Sharing of Benefits Arising from their Utilization</w:t>
      </w:r>
    </w:p>
    <w:p>
      <w:r>
        <w:rPr>
          <w:i/>
          <w:color w:val="555555"/>
          <w:sz w:val="24"/>
        </w:rPr>
        <w:t>Key articles - 5, 6 &amp; 7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What it is</w:t>
      </w:r>
    </w:p>
    <w:p>
      <w:pPr>
        <w:spacing w:after="120"/>
      </w:pPr>
      <w:r>
        <w:t>A supplementary agreement to the CBD (adopted 2010, Nagoya, Japan; in force 2014) that gives detailed, legally binding implementation rules for the CBD's Access and Benefit-Sharing (ABS) objective, including for traditional knowledge associated with genetic resources.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Article 5 - Fair and equitable benefit-sharing</w:t>
      </w:r>
    </w:p>
    <w:p>
      <w:pPr>
        <w:pStyle w:val="ListBullet"/>
        <w:spacing w:after="40"/>
      </w:pPr>
      <w:r>
        <w:t>Benefits from utilisation of genetic resources (and subsequent applications/commercialisation) must be shared fairly with the providing/country-of-origin Party, on mutually agreed terms.</w:t>
      </w:r>
    </w:p>
    <w:p>
      <w:pPr>
        <w:pStyle w:val="ListBullet"/>
        <w:spacing w:after="40"/>
      </w:pPr>
      <w:r>
        <w:t>Parties must legislate to ensure benefits from genetic resources held by indigenous and local communities (per domestic law) are shared fairly with those communities.</w:t>
      </w:r>
    </w:p>
    <w:p>
      <w:pPr>
        <w:pStyle w:val="ListBullet"/>
        <w:spacing w:after="40"/>
      </w:pPr>
      <w:r>
        <w:t>Benefits may be monetary and non-monetary (per the Protocol's Annex).</w:t>
      </w:r>
    </w:p>
    <w:p>
      <w:pPr>
        <w:pStyle w:val="ListBullet"/>
        <w:spacing w:after="40"/>
      </w:pPr>
      <w:r>
        <w:t>Benefits from use of traditional knowledge associated with genetic resources must similarly be shared fairly with the indigenous/local communities holding that knowledge, on mutually agreed terms.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Article 6 - Access to genetic resources</w:t>
      </w:r>
    </w:p>
    <w:p>
      <w:pPr>
        <w:pStyle w:val="ListBullet"/>
        <w:spacing w:after="40"/>
      </w:pPr>
      <w:r>
        <w:t>Access requires the prior informed consent (PIC) of the providing/country-of-origin Party, subject to that Party's sovereign rights and domestic ABS legislation.</w:t>
      </w:r>
    </w:p>
    <w:p>
      <w:pPr>
        <w:pStyle w:val="ListBullet"/>
        <w:spacing w:after="40"/>
      </w:pPr>
      <w:r>
        <w:t>Where indigenous/local communities have an established right to grant access, their PIC or approval/involvement must also be obtained.</w:t>
      </w:r>
    </w:p>
    <w:p>
      <w:pPr>
        <w:pStyle w:val="ListBullet"/>
        <w:spacing w:after="40"/>
      </w:pPr>
      <w:r>
        <w:t>Parties requiring PIC must ensure: legal certainty/clarity/transparency of ABS rules; fair, non-arbitrary access procedures; published information on how to apply for PIC; timely, clear, written decisions by a competent authority; issuance of a permit as evidence of PIC/mutually agreed terms (MAT); and, where applicable, criteria for community-level PIC. MAT should be set out in writing and may cover dispute settlement, IPR-related benefit-sharing, third-party use, and change-of-intent clauses.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Article 7 - Access to associated traditional knowledge</w:t>
      </w:r>
    </w:p>
    <w:p>
      <w:pPr>
        <w:pStyle w:val="ListBullet"/>
        <w:spacing w:after="40"/>
      </w:pPr>
      <w:r>
        <w:t>Traditional knowledge associated with genetic resources, held by indigenous/local communities, must be accessed only with their prior and informed consent (or approval/involvement), and only after mutually agreed terms have been established.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IP/TK theme</w:t>
      </w:r>
    </w:p>
    <w:p>
      <w:pPr>
        <w:spacing w:after="120"/>
      </w:pPr>
      <w:r>
        <w:t>Nagoya's PIC + MAT machinery is exactly what India's NBA/SBB/BMC system under the Biological Diversity Act operationalises domestically, and is the treaty-level ancestor of the disclosure obligations now expanded by the 2024 WIPO GRATK Treaty (see file 17).</w:t>
      </w:r>
    </w:p>
    <w:p/>
    <w:p>
      <w:r>
        <w:rPr>
          <w:i/>
          <w:color w:val="555555"/>
          <w:sz w:val="20"/>
        </w:rPr>
        <w:t>Note: Source excerpt: Articles 5, 6 and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