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4"/>
        </w:rPr>
        <w:t>WIPO Treaty on Intellectual Property, Genetic Resources and Associated Traditional Knowledge (2024)</w:t>
      </w:r>
    </w:p>
    <w:p>
      <w:r>
        <w:rPr>
          <w:i/>
          <w:color w:val="555555"/>
          <w:sz w:val="24"/>
        </w:rPr>
        <w:t>Summary of key features</w:t>
      </w:r>
    </w:p>
    <w:p>
      <w:pPr>
        <w:spacing w:after="120"/>
        <w:pBdr>
          <w:bottom w:val="single" w:sz="8" w:space="1" w:color="1F3A5F"/>
        </w:pBdr>
      </w:pPr>
    </w:p>
    <w:p>
      <w:pPr>
        <w:pStyle w:val="Heading1"/>
        <w:spacing w:before="280" w:after="80"/>
      </w:pPr>
      <w:r>
        <w:rPr>
          <w:color w:val="1F3A5F"/>
          <w:sz w:val="30"/>
        </w:rPr>
        <w:t>Adoption and entry into force</w:t>
      </w:r>
    </w:p>
    <w:p>
      <w:pPr>
        <w:pStyle w:val="ListBullet"/>
        <w:spacing w:after="40"/>
      </w:pPr>
      <w:r>
        <w:t>Adopted by WIPO Member States on 24 May 2024; open for signature until 23 May 2025.</w:t>
      </w:r>
    </w:p>
    <w:p>
      <w:pPr>
        <w:pStyle w:val="ListBullet"/>
        <w:spacing w:after="40"/>
      </w:pPr>
      <w:r>
        <w:t>Enters into force 3 months after 15 ratifications/accessions are deposited.</w:t>
      </w:r>
    </w:p>
    <w:p>
      <w:pPr>
        <w:pStyle w:val="ListBullet"/>
        <w:spacing w:after="40"/>
      </w:pPr>
      <w:r>
        <w:t>Open to any WIPO Member State and the European Union; other IGOs may join on Assembly decision.</w:t>
      </w:r>
    </w:p>
    <w:p>
      <w:pPr>
        <w:pStyle w:val="Heading1"/>
        <w:spacing w:before="280" w:after="80"/>
      </w:pPr>
      <w:r>
        <w:rPr>
          <w:color w:val="1F3A5F"/>
          <w:sz w:val="30"/>
        </w:rPr>
        <w:t>Objectives</w:t>
      </w:r>
    </w:p>
    <w:p>
      <w:pPr>
        <w:spacing w:after="120"/>
      </w:pPr>
      <w:r>
        <w:t>To enhance the efficacy, transparency and quality of the patent system with respect to genetic resources and associated traditional knowledge (associated TK), and to prevent erroneous grant of patents for inventions that are not novel/inventive over genetic resources and associated TK.</w:t>
      </w:r>
    </w:p>
    <w:p>
      <w:pPr>
        <w:pStyle w:val="Heading1"/>
        <w:spacing w:before="280" w:after="80"/>
      </w:pPr>
      <w:r>
        <w:rPr>
          <w:color w:val="1F3A5F"/>
          <w:sz w:val="30"/>
        </w:rPr>
        <w:t>Mandatory patent disclosure requirement (core obligation)</w:t>
      </w:r>
    </w:p>
    <w:p>
      <w:pPr>
        <w:pStyle w:val="ListBullet"/>
        <w:spacing w:after="40"/>
      </w:pPr>
      <w:r>
        <w:t>Where a claimed invention is 'based on' genetic resources and/or associated TK, patent applicants must disclose the country of origin of the genetic resources, and/or the indigenous peoples/local community providing the associated TK.</w:t>
      </w:r>
    </w:p>
    <w:p>
      <w:pPr>
        <w:pStyle w:val="ListBullet"/>
        <w:spacing w:after="40"/>
      </w:pPr>
      <w:r>
        <w:t>If that is unknown, the source must be disclosed instead; if neither is known, the applicant must declare so.</w:t>
      </w:r>
    </w:p>
    <w:p>
      <w:pPr>
        <w:pStyle w:val="ListBullet"/>
        <w:spacing w:after="40"/>
      </w:pPr>
      <w:r>
        <w:t>Patent offices must provide guidance but have no obligation to verify the authenticity of the disclosure.</w:t>
      </w:r>
    </w:p>
    <w:p>
      <w:pPr>
        <w:pStyle w:val="Heading1"/>
        <w:spacing w:before="280" w:after="80"/>
      </w:pPr>
      <w:r>
        <w:rPr>
          <w:color w:val="1F3A5F"/>
          <w:sz w:val="30"/>
        </w:rPr>
        <w:t>Sanctions, remedies and safeguards</w:t>
      </w:r>
    </w:p>
    <w:p>
      <w:pPr>
        <w:pStyle w:val="ListBullet"/>
        <w:spacing w:after="40"/>
      </w:pPr>
      <w:r>
        <w:t>Failure to disclose is subject to appropriate, effective and proportionate measures; applicants get a chance to rectify a failure unless there is fraudulent conduct/intent.</w:t>
      </w:r>
    </w:p>
    <w:p>
      <w:pPr>
        <w:pStyle w:val="ListBullet"/>
        <w:spacing w:after="40"/>
      </w:pPr>
      <w:r>
        <w:t>Post-grant sanctions apply only where there was fraudulent intent.</w:t>
      </w:r>
    </w:p>
    <w:p>
      <w:pPr>
        <w:pStyle w:val="ListBullet"/>
        <w:spacing w:after="40"/>
      </w:pPr>
      <w:r>
        <w:t>Crucially: absent fraud, a patent cannot be revoked, invalidated or rendered unenforceable solely for failure to disclose - a major safeguard for patentees.</w:t>
      </w:r>
    </w:p>
    <w:p>
      <w:pPr>
        <w:pStyle w:val="Heading1"/>
        <w:spacing w:before="280" w:after="80"/>
      </w:pPr>
      <w:r>
        <w:rPr>
          <w:color w:val="1F3A5F"/>
          <w:sz w:val="30"/>
        </w:rPr>
        <w:t>Other key features</w:t>
      </w:r>
    </w:p>
    <w:p>
      <w:pPr>
        <w:pStyle w:val="ListBullet"/>
        <w:spacing w:after="40"/>
      </w:pPr>
      <w:r>
        <w:t>Non-retroactivity: no Treaty obligation applies to patent applications filed before the Treaty enters into force.</w:t>
      </w:r>
    </w:p>
    <w:p>
      <w:pPr>
        <w:pStyle w:val="ListBullet"/>
        <w:spacing w:after="40"/>
      </w:pPr>
      <w:r>
        <w:t>Information systems: encourages databases of genetic resources/associated TK (developed with Indigenous Peoples/local communities where relevant) accessible to patent offices for search and examination - conceptually similar to India's TKDL.</w:t>
      </w:r>
    </w:p>
    <w:p>
      <w:pPr>
        <w:pStyle w:val="ListBullet"/>
        <w:spacing w:after="40"/>
      </w:pPr>
      <w:r>
        <w:t>Review mechanism: built-in review 4 years after entry into force, including possible extension of the disclosure requirement to other IP forms, to derivatives, and to new/emerging technologies.</w:t>
      </w:r>
    </w:p>
    <w:p>
      <w:pPr>
        <w:pStyle w:val="ListBullet"/>
        <w:spacing w:after="40"/>
      </w:pPr>
      <w:r>
        <w:t>No reservations to the Treaty are permitted; Parties are free to choose their own method of domestic implementation.</w:t>
      </w:r>
    </w:p>
    <w:p>
      <w:pPr>
        <w:pStyle w:val="Heading1"/>
        <w:spacing w:before="280" w:after="80"/>
      </w:pPr>
      <w:r>
        <w:rPr>
          <w:color w:val="1F3A5F"/>
          <w:sz w:val="30"/>
        </w:rPr>
        <w:t>Relevance to IP/TK theme</w:t>
      </w:r>
    </w:p>
    <w:p>
      <w:pPr>
        <w:spacing w:after="120"/>
      </w:pPr>
      <w:r>
        <w:t>This is the newest and highest-level international instrument in the whole TK-protection chain (CBD → Nagoya Protocol → domestic ABS laws → this Treaty), making patent-level source disclosure a binding international norm rather than just a national-law practice (as already exists, in a stronger form, under India's Patents Act Sec. 10(4)).</w:t>
      </w:r>
    </w:p>
    <w:p/>
    <w:p>
      <w:r>
        <w:rPr>
          <w:i/>
          <w:color w:val="555555"/>
          <w:sz w:val="20"/>
        </w:rPr>
        <w:t>Note: Source: official WIPO summary of the Treaty.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