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Patent Cooperation Treaty (PCT)</w:t>
      </w:r>
    </w:p>
    <w:p>
      <w:r>
        <w:rPr>
          <w:i/>
          <w:color w:val="555555"/>
          <w:sz w:val="24"/>
        </w:rPr>
        <w:t>Washington, 1970 (as amended) - Structure &amp; Procedure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A WIPO-administered treaty enabling applicants to seek patent protection for an invention simultaneously in a large number of countries by filing a single 'international' patent application, instead of filing separate national applications from the outset. It does NOT grant an international patent - grant remains a national/regional matter.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Two-phase procedure</w:t>
      </w:r>
    </w:p>
    <w:p>
      <w:pPr>
        <w:pStyle w:val="Heading2"/>
        <w:spacing w:before="160" w:after="40"/>
      </w:pPr>
      <w:r>
        <w:rPr>
          <w:color w:val="2E5C8A"/>
          <w:sz w:val="25"/>
        </w:rPr>
        <w:t>International phase</w:t>
      </w:r>
    </w:p>
    <w:p>
      <w:pPr>
        <w:pStyle w:val="ListBullet"/>
        <w:spacing w:after="40"/>
      </w:pPr>
      <w:r>
        <w:t>Filing: applicant files one international application with a Receiving Office (national IP office or WIPO's International Bureau), designating (automatically, all) PCT contracting states.</w:t>
      </w:r>
    </w:p>
    <w:p>
      <w:pPr>
        <w:pStyle w:val="ListBullet"/>
        <w:spacing w:after="40"/>
      </w:pPr>
      <w:r>
        <w:t>International search: an International Searching Authority (ISA) issues an International Search Report (ISR) and a Written Opinion on patentability.</w:t>
      </w:r>
    </w:p>
    <w:p>
      <w:pPr>
        <w:pStyle w:val="ListBullet"/>
        <w:spacing w:after="40"/>
      </w:pPr>
      <w:r>
        <w:t>International publication: the application is published (with the ISR) 18 months after the priority date.</w:t>
      </w:r>
    </w:p>
    <w:p>
      <w:pPr>
        <w:pStyle w:val="ListBullet"/>
        <w:spacing w:after="40"/>
      </w:pPr>
      <w:r>
        <w:t>Optional Chapter II - International Preliminary Examination: applicant may request a more detailed preliminary opinion from an International Preliminary Examining Authority (IPEA).</w:t>
      </w:r>
    </w:p>
    <w:p>
      <w:pPr>
        <w:pStyle w:val="Heading2"/>
        <w:spacing w:before="160" w:after="40"/>
      </w:pPr>
      <w:r>
        <w:rPr>
          <w:color w:val="2E5C8A"/>
          <w:sz w:val="25"/>
        </w:rPr>
        <w:t>National phase</w:t>
      </w:r>
    </w:p>
    <w:p>
      <w:pPr>
        <w:pStyle w:val="ListBullet"/>
        <w:spacing w:after="40"/>
      </w:pPr>
      <w:r>
        <w:t>Applicant must enter the 'national phase' before each patent office where protection is desired, generally within 30/31 months from the priority date - filing translations, paying national fees, and appointing local agents as required.</w:t>
      </w:r>
    </w:p>
    <w:p>
      <w:pPr>
        <w:pStyle w:val="ListBullet"/>
        <w:spacing w:after="40"/>
      </w:pPr>
      <w:r>
        <w:t>Each designated national/regional office then examines and grants (or refuses) a patent under its own domestic law - the PCT streamlines filing/search but each country still decides patentability independently.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advantages</w:t>
      </w:r>
    </w:p>
    <w:p>
      <w:pPr>
        <w:pStyle w:val="ListBullet"/>
        <w:spacing w:after="40"/>
      </w:pPr>
      <w:r>
        <w:t>Delays the (expensive) national-phase costs by up to 18 months compared to direct Paris Convention filing (12-month priority window).</w:t>
      </w:r>
    </w:p>
    <w:p>
      <w:pPr>
        <w:pStyle w:val="ListBullet"/>
        <w:spacing w:after="40"/>
      </w:pPr>
      <w:r>
        <w:t>Centralised search/examination reduces duplicated effort and gives applicants an early view of patentability before committing to costly multi-country filings.</w:t>
      </w:r>
    </w:p>
    <w:p>
      <w:pPr>
        <w:pStyle w:val="ListBullet"/>
        <w:spacing w:after="40"/>
      </w:pPr>
      <w:r>
        <w:t>Single, uniform filing format accepted by all contracting states' offices.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PCT applications for inventions based on genetic resources/traditional knowledge (e.g. botanical-drug patents) increasingly need to satisfy source-disclosure requirements at the national-phase stage in countries like India, even though the PCT itself is procedurally neutral on substantive patentability standards such as Sec. 3(p).</w:t>
      </w:r>
    </w:p>
    <w:p/>
    <w:p>
      <w:r>
        <w:rPr>
          <w:i/>
          <w:color w:val="555555"/>
          <w:sz w:val="20"/>
        </w:rPr>
        <w:t>Note: Source: full treaty text (WIPO).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